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D474">
      <w:pPr>
        <w:jc w:val="center"/>
        <w:rPr>
          <w:rFonts w:ascii="宋体" w:hAnsi="宋体" w:eastAsia="宋体" w:cs="宋体"/>
          <w:sz w:val="44"/>
          <w:szCs w:val="44"/>
        </w:rPr>
      </w:pPr>
      <w:r>
        <w:rPr>
          <w:rFonts w:hint="eastAsia" w:ascii="宋体" w:hAnsi="宋体" w:eastAsia="宋体" w:cs="宋体"/>
          <w:sz w:val="44"/>
          <w:szCs w:val="44"/>
        </w:rPr>
        <w:t>投标须知</w:t>
      </w:r>
    </w:p>
    <w:p w14:paraId="0210F956">
      <w:pPr>
        <w:rPr>
          <w:rFonts w:ascii="宋体" w:hAnsi="宋体" w:eastAsia="宋体" w:cs="宋体"/>
          <w:sz w:val="30"/>
          <w:szCs w:val="30"/>
        </w:rPr>
      </w:pPr>
      <w:r>
        <w:rPr>
          <w:rFonts w:hint="eastAsia" w:ascii="宋体" w:hAnsi="宋体" w:eastAsia="宋体" w:cs="宋体"/>
          <w:sz w:val="30"/>
          <w:szCs w:val="30"/>
        </w:rPr>
        <w:t>一、投标人资格要求</w:t>
      </w:r>
    </w:p>
    <w:p w14:paraId="3C33C8DD">
      <w:pPr>
        <w:rPr>
          <w:rFonts w:ascii="宋体" w:hAnsi="宋体" w:eastAsia="宋体" w:cs="宋体"/>
          <w:sz w:val="30"/>
          <w:szCs w:val="30"/>
        </w:rPr>
      </w:pPr>
      <w:r>
        <w:rPr>
          <w:rFonts w:hint="eastAsia" w:ascii="宋体" w:hAnsi="宋体" w:eastAsia="宋体" w:cs="宋体"/>
          <w:sz w:val="30"/>
          <w:szCs w:val="30"/>
        </w:rPr>
        <w:t>1、本次招标要求投标人必须具备</w:t>
      </w:r>
      <w:r>
        <w:rPr>
          <w:rFonts w:hint="eastAsia" w:ascii="宋体" w:hAnsi="宋体" w:eastAsia="宋体" w:cs="宋体"/>
          <w:sz w:val="30"/>
          <w:szCs w:val="30"/>
          <w:u w:val="single"/>
        </w:rPr>
        <w:t xml:space="preserve"> 乙醇 </w:t>
      </w:r>
      <w:r>
        <w:rPr>
          <w:rFonts w:hint="eastAsia" w:ascii="宋体" w:hAnsi="宋体" w:eastAsia="宋体" w:cs="宋体"/>
          <w:sz w:val="30"/>
          <w:szCs w:val="30"/>
        </w:rPr>
        <w:t>生产或销售资质，规范化的生产场地，完善的质量管理体系，可追溯的全过程文件管理系统。</w:t>
      </w:r>
    </w:p>
    <w:p w14:paraId="7E398871">
      <w:pPr>
        <w:rPr>
          <w:rFonts w:ascii="宋体" w:hAnsi="宋体" w:eastAsia="宋体" w:cs="宋体"/>
          <w:sz w:val="30"/>
          <w:szCs w:val="30"/>
        </w:rPr>
      </w:pPr>
      <w:r>
        <w:rPr>
          <w:rFonts w:hint="eastAsia" w:ascii="宋体" w:hAnsi="宋体" w:eastAsia="宋体" w:cs="宋体"/>
          <w:sz w:val="30"/>
          <w:szCs w:val="30"/>
        </w:rPr>
        <w:t>2、 本次招标要求投标人在合作期间能随时接受招标人的现场审计，并能随时接受药监部门的延伸检查。</w:t>
      </w:r>
    </w:p>
    <w:p w14:paraId="02746642">
      <w:pPr>
        <w:rPr>
          <w:rFonts w:ascii="宋体" w:hAnsi="宋体" w:eastAsia="宋体" w:cs="宋体"/>
          <w:sz w:val="30"/>
          <w:szCs w:val="30"/>
        </w:rPr>
      </w:pPr>
      <w:r>
        <w:rPr>
          <w:rFonts w:hint="eastAsia" w:ascii="宋体" w:hAnsi="宋体" w:eastAsia="宋体" w:cs="宋体"/>
          <w:sz w:val="30"/>
          <w:szCs w:val="30"/>
        </w:rPr>
        <w:t>3、本次招标要求投标人须有与招标人同类型客户的合作经验，并具有与本招标项目相适应的供货能力。</w:t>
      </w:r>
    </w:p>
    <w:p w14:paraId="4B20014C">
      <w:pPr>
        <w:rPr>
          <w:rFonts w:ascii="宋体" w:hAnsi="宋体" w:eastAsia="宋体" w:cs="宋体"/>
          <w:b/>
          <w:bCs/>
          <w:color w:val="auto"/>
          <w:sz w:val="30"/>
          <w:szCs w:val="30"/>
        </w:rPr>
      </w:pPr>
      <w:r>
        <w:rPr>
          <w:rFonts w:hint="eastAsia" w:ascii="宋体" w:hAnsi="宋体" w:eastAsia="宋体" w:cs="宋体"/>
          <w:sz w:val="30"/>
          <w:szCs w:val="30"/>
        </w:rPr>
        <w:t>4、 本次招标不接受联合体投标。</w:t>
      </w:r>
      <w:r>
        <w:rPr>
          <w:rFonts w:hint="eastAsia" w:ascii="宋体" w:hAnsi="宋体" w:eastAsia="宋体" w:cs="宋体"/>
          <w:b/>
          <w:bCs/>
          <w:color w:val="auto"/>
          <w:sz w:val="30"/>
          <w:szCs w:val="30"/>
        </w:rPr>
        <w:t>同一厂家物料，只能一家投标人参加投标。</w:t>
      </w:r>
    </w:p>
    <w:p w14:paraId="4C42F509">
      <w:pPr>
        <w:rPr>
          <w:rFonts w:ascii="宋体" w:hAnsi="宋体" w:eastAsia="宋体" w:cs="宋体"/>
          <w:sz w:val="30"/>
          <w:szCs w:val="30"/>
        </w:rPr>
      </w:pPr>
      <w:r>
        <w:rPr>
          <w:rFonts w:hint="eastAsia" w:ascii="宋体" w:hAnsi="宋体" w:eastAsia="宋体" w:cs="宋体"/>
          <w:sz w:val="30"/>
          <w:szCs w:val="30"/>
        </w:rPr>
        <w:t>5、投标人参加投标，必须按招标文件中的要求编写投标文件，承认并履行其各项规定，在投标截止时间前，将投标文件提交至招标文件中指定的地点。</w:t>
      </w:r>
    </w:p>
    <w:p w14:paraId="270FFC24">
      <w:pPr>
        <w:rPr>
          <w:rFonts w:ascii="宋体" w:hAnsi="宋体" w:eastAsia="宋体" w:cs="宋体"/>
          <w:sz w:val="30"/>
          <w:szCs w:val="30"/>
        </w:rPr>
      </w:pPr>
      <w:r>
        <w:rPr>
          <w:rFonts w:hint="eastAsia" w:ascii="宋体" w:hAnsi="宋体" w:eastAsia="宋体" w:cs="宋体"/>
          <w:sz w:val="30"/>
          <w:szCs w:val="30"/>
        </w:rPr>
        <w:t>二、招标文件</w:t>
      </w:r>
    </w:p>
    <w:p w14:paraId="5AC64108">
      <w:pPr>
        <w:rPr>
          <w:rFonts w:ascii="宋体" w:hAnsi="宋体" w:eastAsia="宋体" w:cs="宋体"/>
          <w:sz w:val="30"/>
          <w:szCs w:val="30"/>
        </w:rPr>
      </w:pPr>
      <w:r>
        <w:rPr>
          <w:rFonts w:hint="eastAsia" w:ascii="宋体" w:hAnsi="宋体" w:eastAsia="宋体" w:cs="宋体"/>
          <w:sz w:val="30"/>
          <w:szCs w:val="30"/>
        </w:rPr>
        <w:t>1、 招标文件用以阐明所需物料及服务、招标投标程序和合同条款。 招标文件由下述六部分组成：</w:t>
      </w:r>
    </w:p>
    <w:p w14:paraId="56409D6F">
      <w:pPr>
        <w:rPr>
          <w:rFonts w:ascii="宋体" w:hAnsi="宋体" w:eastAsia="宋体" w:cs="宋体"/>
          <w:sz w:val="30"/>
          <w:szCs w:val="30"/>
        </w:rPr>
      </w:pPr>
      <w:r>
        <w:rPr>
          <w:rFonts w:hint="eastAsia" w:ascii="宋体" w:hAnsi="宋体" w:eastAsia="宋体" w:cs="宋体"/>
          <w:sz w:val="30"/>
          <w:szCs w:val="30"/>
        </w:rPr>
        <w:t>① 投标</w:t>
      </w:r>
      <w:r>
        <w:rPr>
          <w:rFonts w:hint="eastAsia" w:ascii="宋体" w:hAnsi="宋体" w:eastAsia="宋体" w:cs="宋体"/>
          <w:sz w:val="30"/>
          <w:szCs w:val="30"/>
          <w:lang w:val="en-US" w:eastAsia="zh-CN"/>
        </w:rPr>
        <w:t>确认</w:t>
      </w:r>
      <w:r>
        <w:rPr>
          <w:rFonts w:hint="eastAsia" w:ascii="宋体" w:hAnsi="宋体" w:eastAsia="宋体" w:cs="宋体"/>
          <w:sz w:val="30"/>
          <w:szCs w:val="30"/>
        </w:rPr>
        <w:t>函</w:t>
      </w:r>
    </w:p>
    <w:p w14:paraId="24D08B80">
      <w:pPr>
        <w:rPr>
          <w:rFonts w:ascii="宋体" w:hAnsi="宋体" w:eastAsia="宋体" w:cs="宋体"/>
          <w:sz w:val="30"/>
          <w:szCs w:val="30"/>
        </w:rPr>
      </w:pPr>
      <w:r>
        <w:rPr>
          <w:rFonts w:hint="eastAsia" w:ascii="宋体" w:hAnsi="宋体" w:eastAsia="宋体" w:cs="宋体"/>
          <w:sz w:val="30"/>
          <w:szCs w:val="30"/>
        </w:rPr>
        <w:t>② 投标须知</w:t>
      </w:r>
    </w:p>
    <w:p w14:paraId="474E37CA">
      <w:pPr>
        <w:rPr>
          <w:rFonts w:ascii="宋体" w:hAnsi="宋体" w:eastAsia="宋体" w:cs="宋体"/>
          <w:sz w:val="30"/>
          <w:szCs w:val="30"/>
        </w:rPr>
      </w:pPr>
      <w:r>
        <w:rPr>
          <w:rFonts w:hint="eastAsia" w:ascii="宋体" w:hAnsi="宋体" w:eastAsia="宋体" w:cs="宋体"/>
          <w:sz w:val="30"/>
          <w:szCs w:val="30"/>
        </w:rPr>
        <w:t>③ 合同主要条款</w:t>
      </w:r>
    </w:p>
    <w:p w14:paraId="23727EEB">
      <w:pPr>
        <w:rPr>
          <w:rFonts w:hint="eastAsia" w:ascii="宋体" w:hAnsi="宋体" w:eastAsia="宋体" w:cs="宋体"/>
          <w:sz w:val="30"/>
          <w:szCs w:val="30"/>
        </w:rPr>
      </w:pPr>
      <w:r>
        <w:rPr>
          <w:rFonts w:hint="eastAsia" w:ascii="宋体" w:hAnsi="宋体" w:eastAsia="宋体" w:cs="宋体"/>
          <w:sz w:val="30"/>
          <w:szCs w:val="30"/>
        </w:rPr>
        <w:t>④ 技术条款</w:t>
      </w:r>
    </w:p>
    <w:p w14:paraId="6644CB9C">
      <w:pPr>
        <w:rPr>
          <w:rFonts w:hint="eastAsia" w:ascii="宋体" w:hAnsi="宋体" w:eastAsia="宋体" w:cs="宋体"/>
          <w:sz w:val="30"/>
          <w:szCs w:val="30"/>
          <w:lang w:val="en-US" w:eastAsia="zh-CN"/>
        </w:rPr>
      </w:pPr>
      <w:r>
        <w:rPr>
          <w:rFonts w:hint="eastAsia" w:ascii="宋体" w:hAnsi="宋体" w:eastAsia="宋体" w:cs="宋体"/>
          <w:sz w:val="30"/>
          <w:szCs w:val="30"/>
        </w:rPr>
        <w:t>⑤</w:t>
      </w:r>
      <w:r>
        <w:rPr>
          <w:rFonts w:hint="eastAsia" w:ascii="宋体" w:hAnsi="宋体" w:eastAsia="宋体" w:cs="宋体"/>
          <w:sz w:val="30"/>
          <w:szCs w:val="30"/>
          <w:lang w:val="en-US" w:eastAsia="zh-CN"/>
        </w:rPr>
        <w:t xml:space="preserve"> 投标物料清单</w:t>
      </w:r>
    </w:p>
    <w:p w14:paraId="1534D1C7">
      <w:pPr>
        <w:rPr>
          <w:rFonts w:ascii="宋体" w:hAnsi="宋体" w:eastAsia="宋体" w:cs="宋体"/>
          <w:sz w:val="30"/>
          <w:szCs w:val="30"/>
        </w:rPr>
      </w:pPr>
      <w:r>
        <w:rPr>
          <w:rFonts w:hint="eastAsia" w:ascii="宋体" w:hAnsi="宋体" w:eastAsia="宋体" w:cs="宋体"/>
          <w:sz w:val="30"/>
          <w:szCs w:val="30"/>
        </w:rPr>
        <w:t>2、 投标人应认真阅读招标文件中的所有事项和条款。如果没有按照招标文件要求提交全部资料，或者投标文件没有对招标文件做出实质性响应，该投标有可能被拒绝，其风险应由投标人自行承担。</w:t>
      </w:r>
    </w:p>
    <w:p w14:paraId="48D27938">
      <w:pPr>
        <w:rPr>
          <w:rFonts w:ascii="宋体" w:hAnsi="宋体" w:eastAsia="宋体" w:cs="宋体"/>
          <w:sz w:val="30"/>
          <w:szCs w:val="30"/>
        </w:rPr>
      </w:pPr>
      <w:r>
        <w:rPr>
          <w:rFonts w:hint="eastAsia" w:ascii="宋体" w:hAnsi="宋体" w:eastAsia="宋体" w:cs="宋体"/>
          <w:sz w:val="30"/>
          <w:szCs w:val="30"/>
        </w:rPr>
        <w:t>3 、投标人若对招标文件有任何疑问，应当在招标文件发出之日起5 日内以书面形式向招标人提出澄清要求，招标人将以书面形式予以答复。任何人的口头解释均无效。</w:t>
      </w:r>
    </w:p>
    <w:p w14:paraId="2A16724F">
      <w:pPr>
        <w:rPr>
          <w:rFonts w:ascii="宋体" w:hAnsi="宋体" w:eastAsia="宋体" w:cs="宋体"/>
          <w:sz w:val="30"/>
          <w:szCs w:val="30"/>
        </w:rPr>
      </w:pPr>
      <w:r>
        <w:rPr>
          <w:rFonts w:hint="eastAsia" w:ascii="宋体" w:hAnsi="宋体" w:eastAsia="宋体" w:cs="宋体"/>
          <w:sz w:val="30"/>
          <w:szCs w:val="30"/>
        </w:rPr>
        <w:t>4、 在投标截止日期前的任何时候，无论出于何种原因，招标人可主动地或依据投标人要求澄清的问题而修改招标文件，并以书面方式通知所有邀请的每一投标人。招标文件的修改书将构成招标文件的一部分，对投标人有约束力。评标将以修改后的补充文件为准。</w:t>
      </w:r>
    </w:p>
    <w:p w14:paraId="1E546C88">
      <w:pPr>
        <w:rPr>
          <w:rFonts w:ascii="宋体" w:hAnsi="宋体" w:eastAsia="宋体" w:cs="宋体"/>
          <w:sz w:val="30"/>
          <w:szCs w:val="30"/>
        </w:rPr>
      </w:pPr>
      <w:r>
        <w:rPr>
          <w:rFonts w:hint="eastAsia" w:ascii="宋体" w:hAnsi="宋体" w:eastAsia="宋体" w:cs="宋体"/>
          <w:sz w:val="30"/>
          <w:szCs w:val="30"/>
        </w:rPr>
        <w:t>三、投标文件</w:t>
      </w:r>
    </w:p>
    <w:p w14:paraId="7B87A668">
      <w:pPr>
        <w:rPr>
          <w:rFonts w:ascii="宋体" w:hAnsi="宋体" w:eastAsia="宋体" w:cs="宋体"/>
          <w:b/>
          <w:bCs/>
          <w:sz w:val="30"/>
          <w:szCs w:val="30"/>
        </w:rPr>
      </w:pPr>
      <w:r>
        <w:rPr>
          <w:rFonts w:hint="eastAsia" w:ascii="宋体" w:hAnsi="宋体" w:eastAsia="宋体" w:cs="宋体"/>
          <w:b/>
          <w:bCs/>
          <w:sz w:val="30"/>
          <w:szCs w:val="30"/>
        </w:rPr>
        <w:t>1 、 投标文件应包括下列部分：</w:t>
      </w:r>
    </w:p>
    <w:p w14:paraId="068B440D">
      <w:pPr>
        <w:rPr>
          <w:rFonts w:ascii="宋体" w:hAnsi="宋体" w:eastAsia="宋体" w:cs="宋体"/>
          <w:sz w:val="30"/>
          <w:szCs w:val="30"/>
        </w:rPr>
      </w:pPr>
      <w:r>
        <w:rPr>
          <w:rFonts w:hint="eastAsia" w:ascii="宋体" w:hAnsi="宋体" w:eastAsia="宋体" w:cs="宋体"/>
          <w:sz w:val="30"/>
          <w:szCs w:val="30"/>
        </w:rPr>
        <w:t>① 投标函；</w:t>
      </w:r>
    </w:p>
    <w:p w14:paraId="03D7F879">
      <w:pPr>
        <w:rPr>
          <w:rFonts w:ascii="宋体" w:hAnsi="宋体" w:eastAsia="宋体" w:cs="宋体"/>
          <w:sz w:val="30"/>
          <w:szCs w:val="30"/>
        </w:rPr>
      </w:pPr>
      <w:r>
        <w:rPr>
          <w:rFonts w:hint="eastAsia" w:ascii="宋体" w:hAnsi="宋体" w:eastAsia="宋体" w:cs="宋体"/>
          <w:sz w:val="30"/>
          <w:szCs w:val="30"/>
        </w:rPr>
        <w:t>② 法定代表人授权委托书、被授权人身份证明文件；</w:t>
      </w:r>
    </w:p>
    <w:p w14:paraId="0545A7B7">
      <w:pPr>
        <w:rPr>
          <w:rFonts w:ascii="宋体" w:hAnsi="宋体" w:eastAsia="宋体" w:cs="宋体"/>
          <w:sz w:val="30"/>
          <w:szCs w:val="30"/>
        </w:rPr>
      </w:pPr>
      <w:r>
        <w:rPr>
          <w:rFonts w:hint="eastAsia" w:ascii="宋体" w:hAnsi="宋体" w:eastAsia="宋体" w:cs="宋体"/>
          <w:sz w:val="30"/>
          <w:szCs w:val="30"/>
        </w:rPr>
        <w:t>③ 投标报价一览表；</w:t>
      </w:r>
    </w:p>
    <w:p w14:paraId="12E11AD5">
      <w:pPr>
        <w:rPr>
          <w:rFonts w:ascii="宋体" w:hAnsi="宋体" w:eastAsia="宋体" w:cs="宋体"/>
          <w:sz w:val="30"/>
          <w:szCs w:val="30"/>
        </w:rPr>
      </w:pPr>
      <w:r>
        <w:rPr>
          <w:rFonts w:hint="eastAsia" w:ascii="宋体" w:hAnsi="宋体" w:eastAsia="宋体" w:cs="宋体"/>
          <w:sz w:val="30"/>
          <w:szCs w:val="30"/>
        </w:rPr>
        <w:t>④ 投标人资质文件，相关认证证书及物料执行标准；（见附件）</w:t>
      </w:r>
    </w:p>
    <w:p w14:paraId="6C232E06">
      <w:pPr>
        <w:rPr>
          <w:rFonts w:ascii="宋体" w:hAnsi="宋体" w:eastAsia="宋体" w:cs="宋体"/>
          <w:sz w:val="30"/>
          <w:szCs w:val="30"/>
        </w:rPr>
      </w:pPr>
      <w:r>
        <w:rPr>
          <w:rFonts w:hint="eastAsia" w:ascii="宋体" w:hAnsi="宋体" w:eastAsia="宋体" w:cs="宋体"/>
          <w:sz w:val="30"/>
          <w:szCs w:val="30"/>
        </w:rPr>
        <w:t>⑤ 投标保证金；</w:t>
      </w:r>
    </w:p>
    <w:p w14:paraId="2D29FB2E">
      <w:pPr>
        <w:rPr>
          <w:rFonts w:ascii="宋体" w:hAnsi="宋体" w:eastAsia="宋体" w:cs="宋体"/>
          <w:sz w:val="30"/>
          <w:szCs w:val="30"/>
        </w:rPr>
      </w:pPr>
      <w:r>
        <w:rPr>
          <w:rFonts w:hint="eastAsia" w:ascii="宋体" w:hAnsi="宋体" w:eastAsia="宋体" w:cs="宋体"/>
          <w:sz w:val="30"/>
          <w:szCs w:val="30"/>
        </w:rPr>
        <w:t>⑥ 公司简介、质量管理体系介绍、生产能力及设备状况；</w:t>
      </w:r>
    </w:p>
    <w:p w14:paraId="69D189AD">
      <w:pPr>
        <w:rPr>
          <w:rFonts w:ascii="宋体" w:hAnsi="宋体" w:eastAsia="宋体" w:cs="宋体"/>
          <w:sz w:val="30"/>
          <w:szCs w:val="30"/>
        </w:rPr>
      </w:pPr>
      <w:r>
        <w:rPr>
          <w:rFonts w:hint="eastAsia" w:ascii="宋体" w:hAnsi="宋体" w:eastAsia="宋体" w:cs="宋体"/>
          <w:sz w:val="30"/>
          <w:szCs w:val="30"/>
        </w:rPr>
        <w:t>⑦ 保证按时供货的方案或措施；</w:t>
      </w:r>
    </w:p>
    <w:p w14:paraId="52149F45">
      <w:pPr>
        <w:rPr>
          <w:rFonts w:ascii="宋体" w:hAnsi="宋体" w:eastAsia="宋体" w:cs="宋体"/>
          <w:sz w:val="30"/>
          <w:szCs w:val="30"/>
        </w:rPr>
      </w:pPr>
      <w:r>
        <w:rPr>
          <w:rFonts w:hint="eastAsia" w:ascii="宋体" w:hAnsi="宋体" w:eastAsia="宋体" w:cs="宋体"/>
          <w:sz w:val="30"/>
          <w:szCs w:val="30"/>
        </w:rPr>
        <w:t>⑧ 近 3 年同类产品供货业绩资料；</w:t>
      </w:r>
    </w:p>
    <w:p w14:paraId="1B1536B7">
      <w:pPr>
        <w:rPr>
          <w:rFonts w:ascii="宋体" w:hAnsi="宋体" w:eastAsia="宋体" w:cs="宋体"/>
          <w:sz w:val="30"/>
          <w:szCs w:val="30"/>
        </w:rPr>
      </w:pPr>
      <w:r>
        <w:rPr>
          <w:rFonts w:hint="eastAsia" w:ascii="宋体" w:hAnsi="宋体" w:eastAsia="宋体" w:cs="宋体"/>
          <w:sz w:val="30"/>
          <w:szCs w:val="30"/>
        </w:rPr>
        <w:t>⑨ 售后服务承诺书。</w:t>
      </w:r>
    </w:p>
    <w:p w14:paraId="377BFB1D">
      <w:pPr>
        <w:rPr>
          <w:rFonts w:ascii="宋体" w:hAnsi="宋体" w:eastAsia="宋体" w:cs="宋体"/>
          <w:sz w:val="30"/>
          <w:szCs w:val="30"/>
        </w:rPr>
      </w:pPr>
      <w:r>
        <w:rPr>
          <w:rFonts w:hint="eastAsia" w:ascii="宋体" w:hAnsi="宋体" w:eastAsia="宋体" w:cs="宋体"/>
          <w:sz w:val="30"/>
          <w:szCs w:val="30"/>
        </w:rPr>
        <w:t>2、投标报价</w:t>
      </w:r>
    </w:p>
    <w:p w14:paraId="57700114">
      <w:pPr>
        <w:rPr>
          <w:rFonts w:ascii="宋体" w:hAnsi="宋体" w:eastAsia="宋体" w:cs="宋体"/>
          <w:sz w:val="30"/>
          <w:szCs w:val="30"/>
        </w:rPr>
      </w:pPr>
      <w:r>
        <w:rPr>
          <w:rFonts w:hint="eastAsia" w:ascii="宋体" w:hAnsi="宋体" w:eastAsia="宋体" w:cs="宋体"/>
          <w:sz w:val="30"/>
          <w:szCs w:val="30"/>
        </w:rPr>
        <w:t>① 投标人应对本招标文件“第六部分招标物料清单”中所涉及的所有项目进行投标，只针对部分项目的投标将被拒绝。</w:t>
      </w:r>
    </w:p>
    <w:p w14:paraId="7DD69C4A">
      <w:pPr>
        <w:rPr>
          <w:rFonts w:ascii="宋体" w:hAnsi="宋体" w:eastAsia="宋体" w:cs="宋体"/>
          <w:sz w:val="30"/>
          <w:szCs w:val="30"/>
        </w:rPr>
      </w:pPr>
      <w:r>
        <w:rPr>
          <w:rFonts w:hint="eastAsia" w:ascii="宋体" w:hAnsi="宋体" w:eastAsia="宋体" w:cs="宋体"/>
          <w:sz w:val="30"/>
          <w:szCs w:val="30"/>
        </w:rPr>
        <w:t>② 投标人应按含税单价及不含税单价分别报价，合同执行过程应遵循不含税价不变，税率和含税价应根据国家税率变化而改变。</w:t>
      </w:r>
    </w:p>
    <w:p w14:paraId="146C0FC5">
      <w:pPr>
        <w:rPr>
          <w:rFonts w:ascii="宋体" w:hAnsi="宋体" w:eastAsia="宋体" w:cs="宋体"/>
          <w:sz w:val="30"/>
          <w:szCs w:val="30"/>
        </w:rPr>
      </w:pPr>
      <w:r>
        <w:rPr>
          <w:rFonts w:hint="eastAsia" w:ascii="宋体" w:hAnsi="宋体" w:eastAsia="宋体" w:cs="宋体"/>
          <w:sz w:val="30"/>
          <w:szCs w:val="30"/>
        </w:rPr>
        <w:t>3、 投标文件应由法定代表人或授权代理人在投标文件封面签字或盖章，并加盖投标人的公章。除投标人对投标文件错误之处作必要修改外，投标文件中不允许有加行、涂抹或改写。个别修改处须有投标人授权代表签字并加盖投标人公章。</w:t>
      </w:r>
    </w:p>
    <w:p w14:paraId="20B70867">
      <w:pPr>
        <w:rPr>
          <w:rFonts w:ascii="宋体" w:hAnsi="宋体" w:eastAsia="宋体" w:cs="宋体"/>
          <w:sz w:val="30"/>
          <w:szCs w:val="30"/>
        </w:rPr>
      </w:pPr>
      <w:r>
        <w:rPr>
          <w:rFonts w:hint="eastAsia" w:ascii="宋体" w:hAnsi="宋体" w:eastAsia="宋体" w:cs="宋体"/>
          <w:sz w:val="30"/>
          <w:szCs w:val="30"/>
        </w:rPr>
        <w:t>4、投标文件正本一份，副本一份，装入密封袋密封，并在投标文件封面右上角注明“正本”、“副本”字样， 一旦正本和副本有差异时，以正本为准。</w:t>
      </w:r>
    </w:p>
    <w:p w14:paraId="3C036F16">
      <w:pPr>
        <w:rPr>
          <w:rFonts w:ascii="宋体" w:hAnsi="宋体" w:eastAsia="宋体" w:cs="宋体"/>
          <w:sz w:val="30"/>
          <w:szCs w:val="30"/>
        </w:rPr>
      </w:pPr>
      <w:r>
        <w:rPr>
          <w:rFonts w:hint="eastAsia" w:ascii="宋体" w:hAnsi="宋体" w:eastAsia="宋体" w:cs="宋体"/>
          <w:sz w:val="30"/>
          <w:szCs w:val="30"/>
        </w:rPr>
        <w:t>5、 投标文件应密封包装，并在封套的封口处加盖投标人单位公章且由其法定代表人或其授权的代理人签字。</w:t>
      </w:r>
    </w:p>
    <w:p w14:paraId="41B80A60">
      <w:pPr>
        <w:rPr>
          <w:rFonts w:ascii="宋体" w:hAnsi="宋体" w:eastAsia="宋体" w:cs="宋体"/>
          <w:sz w:val="30"/>
          <w:szCs w:val="30"/>
        </w:rPr>
      </w:pPr>
      <w:r>
        <w:rPr>
          <w:rFonts w:hint="eastAsia" w:ascii="宋体" w:hAnsi="宋体" w:eastAsia="宋体" w:cs="宋体"/>
          <w:sz w:val="30"/>
          <w:szCs w:val="30"/>
        </w:rPr>
        <w:t>四、 投标保证金</w:t>
      </w:r>
    </w:p>
    <w:p w14:paraId="67C4BF2C">
      <w:pPr>
        <w:rPr>
          <w:rFonts w:ascii="宋体" w:hAnsi="宋体" w:eastAsia="宋体" w:cs="宋体"/>
          <w:sz w:val="30"/>
          <w:szCs w:val="30"/>
        </w:rPr>
      </w:pPr>
      <w:r>
        <w:rPr>
          <w:rFonts w:hint="eastAsia" w:ascii="宋体" w:hAnsi="宋体" w:eastAsia="宋体" w:cs="宋体"/>
          <w:sz w:val="30"/>
          <w:szCs w:val="30"/>
        </w:rPr>
        <w:t>1、 投标人须在投标截止期前按以下要求交纳投标保证金：</w:t>
      </w:r>
    </w:p>
    <w:p w14:paraId="17C7BBA7">
      <w:pPr>
        <w:rPr>
          <w:rFonts w:ascii="宋体" w:hAnsi="宋体" w:eastAsia="宋体" w:cs="宋体"/>
          <w:sz w:val="30"/>
          <w:szCs w:val="30"/>
        </w:rPr>
      </w:pPr>
      <w:r>
        <w:rPr>
          <w:rFonts w:hint="eastAsia" w:ascii="宋体" w:hAnsi="宋体" w:eastAsia="宋体" w:cs="宋体"/>
          <w:sz w:val="30"/>
          <w:szCs w:val="30"/>
        </w:rPr>
        <w:t>① 投标保证金：  人民币30000 元整(大写：叁万元整);</w:t>
      </w:r>
    </w:p>
    <w:p w14:paraId="2118D4B9">
      <w:pPr>
        <w:ind w:firstLine="300" w:firstLineChars="100"/>
        <w:rPr>
          <w:rFonts w:ascii="宋体" w:hAnsi="宋体" w:eastAsia="宋体" w:cs="宋体"/>
          <w:sz w:val="28"/>
          <w:szCs w:val="28"/>
        </w:rPr>
      </w:pPr>
      <w:r>
        <w:rPr>
          <w:rFonts w:hint="eastAsia" w:ascii="宋体" w:hAnsi="宋体" w:eastAsia="宋体" w:cs="宋体"/>
          <w:sz w:val="30"/>
          <w:szCs w:val="30"/>
        </w:rPr>
        <w:t>收款单位：国药集团中联药业有限公司</w:t>
      </w:r>
    </w:p>
    <w:p w14:paraId="02F9CD5E">
      <w:pPr>
        <w:spacing w:line="220" w:lineRule="auto"/>
        <w:ind w:left="449"/>
        <w:rPr>
          <w:rFonts w:ascii="宋体" w:hAnsi="宋体" w:eastAsia="宋体" w:cs="宋体"/>
          <w:sz w:val="28"/>
          <w:szCs w:val="28"/>
        </w:rPr>
      </w:pPr>
      <w:r>
        <w:rPr>
          <w:rFonts w:ascii="宋体" w:hAnsi="宋体" w:eastAsia="宋体" w:cs="宋体"/>
          <w:sz w:val="28"/>
          <w:szCs w:val="28"/>
        </w:rPr>
        <w:t>银行账号：</w:t>
      </w:r>
      <w:r>
        <w:rPr>
          <w:rFonts w:hint="eastAsia" w:ascii="宋体" w:hAnsi="宋体" w:eastAsia="宋体" w:cs="宋体"/>
          <w:sz w:val="28"/>
          <w:szCs w:val="28"/>
        </w:rPr>
        <w:t>7382 9101 8260 0006 466</w:t>
      </w:r>
      <w:r>
        <w:rPr>
          <w:rFonts w:ascii="宋体" w:hAnsi="宋体" w:eastAsia="宋体" w:cs="宋体"/>
          <w:sz w:val="28"/>
          <w:szCs w:val="28"/>
        </w:rPr>
        <w:t>;</w:t>
      </w:r>
    </w:p>
    <w:p w14:paraId="6E14C989">
      <w:pPr>
        <w:spacing w:line="220" w:lineRule="auto"/>
        <w:ind w:left="449"/>
        <w:rPr>
          <w:rFonts w:ascii="宋体" w:hAnsi="宋体" w:eastAsia="宋体" w:cs="宋体"/>
          <w:sz w:val="30"/>
          <w:szCs w:val="30"/>
        </w:rPr>
      </w:pPr>
      <w:r>
        <w:rPr>
          <w:rFonts w:ascii="宋体" w:hAnsi="宋体" w:eastAsia="宋体" w:cs="宋体"/>
          <w:spacing w:val="-14"/>
          <w:sz w:val="28"/>
          <w:szCs w:val="28"/>
        </w:rPr>
        <w:t>开户行：</w:t>
      </w:r>
      <w:r>
        <w:rPr>
          <w:rFonts w:ascii="宋体" w:hAnsi="宋体" w:eastAsia="宋体" w:cs="宋体"/>
          <w:spacing w:val="29"/>
          <w:sz w:val="28"/>
          <w:szCs w:val="28"/>
        </w:rPr>
        <w:t xml:space="preserve">  </w:t>
      </w:r>
      <w:r>
        <w:rPr>
          <w:rFonts w:hint="eastAsia" w:ascii="宋体" w:hAnsi="宋体" w:eastAsia="宋体" w:cs="宋体"/>
          <w:spacing w:val="-14"/>
          <w:sz w:val="28"/>
          <w:szCs w:val="28"/>
        </w:rPr>
        <w:t>中信银行武汉自贸区支行</w:t>
      </w:r>
      <w:r>
        <w:rPr>
          <w:rFonts w:ascii="宋体" w:hAnsi="宋体" w:eastAsia="宋体" w:cs="宋体"/>
          <w:spacing w:val="-14"/>
          <w:sz w:val="28"/>
          <w:szCs w:val="28"/>
        </w:rPr>
        <w:t>；</w:t>
      </w:r>
    </w:p>
    <w:p w14:paraId="507AB906">
      <w:pPr>
        <w:rPr>
          <w:rFonts w:ascii="宋体" w:hAnsi="宋体" w:eastAsia="宋体" w:cs="宋体"/>
          <w:sz w:val="30"/>
          <w:szCs w:val="30"/>
        </w:rPr>
      </w:pPr>
      <w:r>
        <w:rPr>
          <w:rFonts w:hint="eastAsia" w:ascii="宋体" w:hAnsi="宋体" w:eastAsia="宋体" w:cs="宋体"/>
          <w:sz w:val="30"/>
          <w:szCs w:val="30"/>
        </w:rPr>
        <w:t>② 交纳时间：</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08</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05</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日</w:t>
      </w:r>
      <w:r>
        <w:rPr>
          <w:rFonts w:hint="eastAsia" w:ascii="宋体" w:hAnsi="宋体" w:eastAsia="宋体" w:cs="宋体"/>
          <w:sz w:val="30"/>
          <w:szCs w:val="30"/>
        </w:rPr>
        <w:t>前，以银行到账时间为准。汇</w:t>
      </w:r>
    </w:p>
    <w:p w14:paraId="54273E76">
      <w:pPr>
        <w:rPr>
          <w:rFonts w:ascii="宋体" w:hAnsi="宋体" w:eastAsia="宋体" w:cs="宋体"/>
          <w:sz w:val="30"/>
          <w:szCs w:val="30"/>
        </w:rPr>
      </w:pPr>
      <w:r>
        <w:rPr>
          <w:rFonts w:hint="eastAsia" w:ascii="宋体" w:hAnsi="宋体" w:eastAsia="宋体" w:cs="宋体"/>
          <w:sz w:val="30"/>
          <w:szCs w:val="30"/>
        </w:rPr>
        <w:t>款时请备注：</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乙醇</w:t>
      </w:r>
      <w:r>
        <w:rPr>
          <w:rFonts w:hint="eastAsia" w:ascii="宋体" w:hAnsi="宋体" w:eastAsia="宋体" w:cs="宋体"/>
          <w:sz w:val="30"/>
          <w:szCs w:val="30"/>
          <w:u w:val="single"/>
        </w:rPr>
        <w:t xml:space="preserve"> </w:t>
      </w:r>
      <w:r>
        <w:rPr>
          <w:rFonts w:hint="eastAsia" w:ascii="宋体" w:hAnsi="宋体" w:eastAsia="宋体" w:cs="宋体"/>
          <w:sz w:val="30"/>
          <w:szCs w:val="30"/>
        </w:rPr>
        <w:t>投标保证金。</w:t>
      </w:r>
    </w:p>
    <w:p w14:paraId="25B966E2">
      <w:pPr>
        <w:rPr>
          <w:rFonts w:ascii="宋体" w:hAnsi="宋体" w:eastAsia="宋体" w:cs="宋体"/>
          <w:sz w:val="30"/>
          <w:szCs w:val="30"/>
        </w:rPr>
      </w:pPr>
      <w:r>
        <w:rPr>
          <w:rFonts w:hint="eastAsia" w:ascii="宋体" w:hAnsi="宋体" w:eastAsia="宋体" w:cs="宋体"/>
          <w:sz w:val="30"/>
          <w:szCs w:val="30"/>
        </w:rPr>
        <w:t>2、招标人应当自中标通知书发出之日起15个工作日内退还未中标人的投标保证金。中标人的投标保证金将自动转为中标人的履约及质量保证金。</w:t>
      </w:r>
    </w:p>
    <w:p w14:paraId="2EBF5BF3">
      <w:pPr>
        <w:rPr>
          <w:rFonts w:ascii="宋体" w:hAnsi="宋体" w:eastAsia="宋体" w:cs="宋体"/>
          <w:sz w:val="30"/>
          <w:szCs w:val="30"/>
        </w:rPr>
      </w:pPr>
      <w:r>
        <w:rPr>
          <w:rFonts w:hint="eastAsia" w:ascii="宋体" w:hAnsi="宋体" w:eastAsia="宋体" w:cs="宋体"/>
          <w:sz w:val="30"/>
          <w:szCs w:val="30"/>
        </w:rPr>
        <w:t>3、 有下列情形之一的，投标保证金将不予退还：</w:t>
      </w:r>
    </w:p>
    <w:p w14:paraId="11D7D764">
      <w:pPr>
        <w:rPr>
          <w:rFonts w:ascii="宋体" w:hAnsi="宋体" w:eastAsia="宋体" w:cs="宋体"/>
          <w:sz w:val="30"/>
          <w:szCs w:val="30"/>
        </w:rPr>
      </w:pPr>
      <w:r>
        <w:rPr>
          <w:rFonts w:hint="eastAsia" w:ascii="宋体" w:hAnsi="宋体" w:eastAsia="宋体" w:cs="宋体"/>
          <w:sz w:val="30"/>
          <w:szCs w:val="30"/>
        </w:rPr>
        <w:t>① 投标人在投标有效期内撤销投标文件；</w:t>
      </w:r>
    </w:p>
    <w:p w14:paraId="2E941CFA">
      <w:pPr>
        <w:rPr>
          <w:rFonts w:ascii="宋体" w:hAnsi="宋体" w:eastAsia="宋体" w:cs="宋体"/>
          <w:sz w:val="30"/>
          <w:szCs w:val="30"/>
        </w:rPr>
      </w:pPr>
      <w:r>
        <w:rPr>
          <w:rFonts w:hint="eastAsia" w:ascii="宋体" w:hAnsi="宋体" w:eastAsia="宋体" w:cs="宋体"/>
          <w:sz w:val="30"/>
          <w:szCs w:val="30"/>
        </w:rPr>
        <w:t>② 投标人以虚假资料骗取中标；</w:t>
      </w:r>
    </w:p>
    <w:p w14:paraId="23C8A5ED">
      <w:pPr>
        <w:rPr>
          <w:rFonts w:ascii="宋体" w:hAnsi="宋体" w:eastAsia="宋体" w:cs="宋体"/>
          <w:sz w:val="30"/>
          <w:szCs w:val="30"/>
        </w:rPr>
      </w:pPr>
      <w:r>
        <w:rPr>
          <w:rFonts w:hint="eastAsia" w:ascii="宋体" w:hAnsi="宋体" w:eastAsia="宋体" w:cs="宋体"/>
          <w:sz w:val="30"/>
          <w:szCs w:val="30"/>
        </w:rPr>
        <w:t>③ 投标人在规定期限内未能根据投标须知有关规定与招标人签订合同或不接受对错误修正的。</w:t>
      </w:r>
    </w:p>
    <w:p w14:paraId="7F765E47">
      <w:pPr>
        <w:rPr>
          <w:rFonts w:ascii="宋体" w:hAnsi="宋体" w:eastAsia="宋体" w:cs="宋体"/>
          <w:sz w:val="30"/>
          <w:szCs w:val="30"/>
        </w:rPr>
      </w:pPr>
      <w:r>
        <w:rPr>
          <w:rFonts w:hint="eastAsia" w:ascii="宋体" w:hAnsi="宋体" w:eastAsia="宋体" w:cs="宋体"/>
          <w:sz w:val="30"/>
          <w:szCs w:val="30"/>
        </w:rPr>
        <w:t>五、 投标有效期</w:t>
      </w:r>
    </w:p>
    <w:p w14:paraId="2BB56EAA">
      <w:pPr>
        <w:rPr>
          <w:rFonts w:ascii="宋体" w:hAnsi="宋体" w:eastAsia="宋体" w:cs="宋体"/>
          <w:sz w:val="30"/>
          <w:szCs w:val="30"/>
        </w:rPr>
      </w:pPr>
      <w:r>
        <w:rPr>
          <w:rFonts w:hint="eastAsia" w:ascii="宋体" w:hAnsi="宋体" w:eastAsia="宋体" w:cs="宋体"/>
          <w:sz w:val="30"/>
          <w:szCs w:val="30"/>
        </w:rPr>
        <w:t>1 、投标文件从开标之日起</w:t>
      </w:r>
      <w:r>
        <w:rPr>
          <w:rFonts w:hint="eastAsia" w:ascii="宋体" w:hAnsi="宋体" w:eastAsia="宋体" w:cs="宋体"/>
          <w:sz w:val="30"/>
          <w:szCs w:val="30"/>
          <w:lang w:val="en-US" w:eastAsia="zh-CN"/>
        </w:rPr>
        <w:t>15</w:t>
      </w:r>
      <w:r>
        <w:rPr>
          <w:rFonts w:hint="eastAsia" w:ascii="宋体" w:hAnsi="宋体" w:eastAsia="宋体" w:cs="宋体"/>
          <w:sz w:val="30"/>
          <w:szCs w:val="30"/>
        </w:rPr>
        <w:t>天内有效。</w:t>
      </w:r>
    </w:p>
    <w:p w14:paraId="7CB65B4A">
      <w:pPr>
        <w:rPr>
          <w:rFonts w:ascii="宋体" w:hAnsi="宋体" w:eastAsia="宋体" w:cs="宋体"/>
          <w:sz w:val="30"/>
          <w:szCs w:val="30"/>
        </w:rPr>
      </w:pPr>
      <w:r>
        <w:rPr>
          <w:rFonts w:hint="eastAsia" w:ascii="宋体" w:hAnsi="宋体" w:eastAsia="宋体" w:cs="宋体"/>
          <w:sz w:val="30"/>
          <w:szCs w:val="30"/>
        </w:rPr>
        <w:t>2、 在特殊情况下，在原定投标有效期届满之前，招标人可与投标人协商延长投标文件的有效期，并以书面形式通知邀请招标的所有投标人 。</w:t>
      </w:r>
    </w:p>
    <w:p w14:paraId="0738CF5B">
      <w:pPr>
        <w:rPr>
          <w:rFonts w:ascii="宋体" w:hAnsi="宋体" w:eastAsia="宋体" w:cs="宋体"/>
          <w:sz w:val="30"/>
          <w:szCs w:val="30"/>
        </w:rPr>
      </w:pPr>
      <w:r>
        <w:rPr>
          <w:rFonts w:hint="eastAsia" w:ascii="宋体" w:hAnsi="宋体" w:eastAsia="宋体" w:cs="宋体"/>
          <w:sz w:val="30"/>
          <w:szCs w:val="30"/>
        </w:rPr>
        <w:t>六、投标</w:t>
      </w:r>
    </w:p>
    <w:p w14:paraId="2E187A95">
      <w:pPr>
        <w:rPr>
          <w:rFonts w:ascii="宋体" w:hAnsi="宋体" w:eastAsia="宋体" w:cs="宋体"/>
          <w:sz w:val="30"/>
          <w:szCs w:val="30"/>
        </w:rPr>
      </w:pPr>
      <w:r>
        <w:rPr>
          <w:rFonts w:hint="eastAsia" w:ascii="宋体" w:hAnsi="宋体" w:eastAsia="宋体" w:cs="宋体"/>
          <w:sz w:val="30"/>
          <w:szCs w:val="30"/>
        </w:rPr>
        <w:t>1 、投标文件递交截止时间：</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08</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05</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 xml:space="preserve"> 日</w:t>
      </w:r>
      <w:r>
        <w:rPr>
          <w:rFonts w:hint="eastAsia" w:ascii="宋体" w:hAnsi="宋体" w:eastAsia="宋体" w:cs="宋体"/>
          <w:sz w:val="30"/>
          <w:szCs w:val="30"/>
        </w:rPr>
        <w:t xml:space="preserve"> 。</w:t>
      </w:r>
    </w:p>
    <w:p w14:paraId="56767066">
      <w:pPr>
        <w:rPr>
          <w:rFonts w:ascii="宋体" w:hAnsi="宋体" w:eastAsia="宋体" w:cs="宋体"/>
          <w:sz w:val="30"/>
          <w:szCs w:val="30"/>
        </w:rPr>
      </w:pPr>
      <w:r>
        <w:rPr>
          <w:rFonts w:hint="eastAsia" w:ascii="宋体" w:hAnsi="宋体" w:eastAsia="宋体" w:cs="宋体"/>
          <w:sz w:val="30"/>
          <w:szCs w:val="30"/>
        </w:rPr>
        <w:t>2、投标文件递交地点：武汉市东湖新技术开发区高新二路379号，</w:t>
      </w:r>
    </w:p>
    <w:p w14:paraId="05334F7A">
      <w:pPr>
        <w:ind w:firstLine="3000" w:firstLineChars="1000"/>
        <w:rPr>
          <w:rFonts w:ascii="宋体" w:hAnsi="宋体" w:eastAsia="宋体" w:cs="宋体"/>
          <w:sz w:val="30"/>
          <w:szCs w:val="30"/>
        </w:rPr>
      </w:pPr>
      <w:r>
        <w:rPr>
          <w:rFonts w:hint="eastAsia" w:ascii="宋体" w:hAnsi="宋体" w:eastAsia="宋体" w:cs="宋体"/>
          <w:sz w:val="30"/>
          <w:szCs w:val="30"/>
        </w:rPr>
        <w:t>国药集团中联药业有限公司 运营管理部</w:t>
      </w:r>
    </w:p>
    <w:p w14:paraId="578D5F94">
      <w:pPr>
        <w:rPr>
          <w:rFonts w:ascii="宋体" w:hAnsi="宋体" w:eastAsia="宋体" w:cs="宋体"/>
          <w:sz w:val="30"/>
          <w:szCs w:val="30"/>
        </w:rPr>
      </w:pPr>
      <w:r>
        <w:rPr>
          <w:rFonts w:hint="eastAsia" w:ascii="宋体" w:hAnsi="宋体" w:eastAsia="宋体" w:cs="宋体"/>
          <w:sz w:val="30"/>
          <w:szCs w:val="30"/>
        </w:rPr>
        <w:t>3 、请投标人在投标截止时间前，按投标须知中规定的内容编写投标文件，密封后提交至上述指定的地点。逾期送达的、未送达指定地点的或者不按照招标文件要求密封的投标文件，招标人将予以拒收。</w:t>
      </w:r>
    </w:p>
    <w:p w14:paraId="01D02DC9">
      <w:pPr>
        <w:rPr>
          <w:rFonts w:ascii="宋体" w:hAnsi="宋体" w:eastAsia="宋体" w:cs="宋体"/>
          <w:sz w:val="30"/>
          <w:szCs w:val="30"/>
        </w:rPr>
      </w:pPr>
      <w:r>
        <w:rPr>
          <w:rFonts w:hint="eastAsia" w:ascii="宋体" w:hAnsi="宋体" w:eastAsia="宋体" w:cs="宋体"/>
          <w:sz w:val="30"/>
          <w:szCs w:val="30"/>
        </w:rPr>
        <w:t>七、开标、评标</w:t>
      </w:r>
    </w:p>
    <w:p w14:paraId="693E1A22">
      <w:pPr>
        <w:rPr>
          <w:rFonts w:ascii="宋体" w:hAnsi="宋体" w:eastAsia="宋体" w:cs="宋体"/>
          <w:sz w:val="30"/>
          <w:szCs w:val="30"/>
        </w:rPr>
      </w:pPr>
      <w:r>
        <w:rPr>
          <w:rFonts w:hint="eastAsia" w:ascii="宋体" w:hAnsi="宋体" w:eastAsia="宋体" w:cs="宋体"/>
          <w:sz w:val="30"/>
          <w:szCs w:val="30"/>
        </w:rPr>
        <w:t>1 、在投标截止时间后，招标人依法组织开标、评标工作，并在法务或审计以及纪检监察等部门监督下公开按程序进行。开标、评标过程全程记录，并存档备查。</w:t>
      </w:r>
    </w:p>
    <w:p w14:paraId="6A913C0C">
      <w:pPr>
        <w:rPr>
          <w:rFonts w:ascii="宋体" w:hAnsi="宋体" w:eastAsia="宋体" w:cs="宋体"/>
          <w:sz w:val="30"/>
          <w:szCs w:val="30"/>
        </w:rPr>
      </w:pPr>
      <w:r>
        <w:rPr>
          <w:rFonts w:hint="eastAsia" w:ascii="宋体" w:hAnsi="宋体" w:eastAsia="宋体" w:cs="宋体"/>
          <w:sz w:val="30"/>
          <w:szCs w:val="30"/>
        </w:rPr>
        <w:t>2、 投标截止时间结束后参加投标的投标人不足3家的，按照以下原</w:t>
      </w:r>
    </w:p>
    <w:p w14:paraId="52049061">
      <w:pPr>
        <w:rPr>
          <w:rFonts w:ascii="宋体" w:hAnsi="宋体" w:eastAsia="宋体" w:cs="宋体"/>
          <w:sz w:val="30"/>
          <w:szCs w:val="30"/>
        </w:rPr>
      </w:pPr>
      <w:r>
        <w:rPr>
          <w:rFonts w:hint="eastAsia" w:ascii="宋体" w:hAnsi="宋体" w:eastAsia="宋体" w:cs="宋体"/>
          <w:sz w:val="30"/>
          <w:szCs w:val="30"/>
        </w:rPr>
        <w:t>则处理：</w:t>
      </w:r>
    </w:p>
    <w:p w14:paraId="755FA544">
      <w:pPr>
        <w:rPr>
          <w:rFonts w:ascii="宋体" w:hAnsi="宋体" w:eastAsia="宋体" w:cs="宋体"/>
          <w:sz w:val="30"/>
          <w:szCs w:val="30"/>
        </w:rPr>
      </w:pPr>
      <w:r>
        <w:rPr>
          <w:rFonts w:hint="eastAsia" w:ascii="宋体" w:hAnsi="宋体" w:eastAsia="宋体" w:cs="宋体"/>
          <w:sz w:val="30"/>
          <w:szCs w:val="30"/>
        </w:rPr>
        <w:t>① 招标文件没有不合理条款、程序符合规定的，可采取竞争性谈判、</w:t>
      </w:r>
    </w:p>
    <w:p w14:paraId="20BC49CE">
      <w:pPr>
        <w:rPr>
          <w:rFonts w:ascii="宋体" w:hAnsi="宋体" w:eastAsia="宋体" w:cs="宋体"/>
          <w:sz w:val="30"/>
          <w:szCs w:val="30"/>
        </w:rPr>
      </w:pPr>
      <w:r>
        <w:rPr>
          <w:rFonts w:hint="eastAsia" w:ascii="宋体" w:hAnsi="宋体" w:eastAsia="宋体" w:cs="宋体"/>
          <w:sz w:val="30"/>
          <w:szCs w:val="30"/>
        </w:rPr>
        <w:t>询价或者单一来源方式采购；</w:t>
      </w:r>
    </w:p>
    <w:p w14:paraId="23724BB3">
      <w:pPr>
        <w:rPr>
          <w:rFonts w:ascii="宋体" w:hAnsi="宋体" w:eastAsia="宋体" w:cs="宋体"/>
          <w:sz w:val="30"/>
          <w:szCs w:val="30"/>
        </w:rPr>
      </w:pPr>
      <w:r>
        <w:rPr>
          <w:rFonts w:hint="eastAsia" w:ascii="宋体" w:hAnsi="宋体" w:eastAsia="宋体" w:cs="宋体"/>
          <w:sz w:val="30"/>
          <w:szCs w:val="30"/>
        </w:rPr>
        <w:t>② 招标文件存在不合理条款的，程序不符合规定的，应予废标，责成依法重新招标。</w:t>
      </w:r>
    </w:p>
    <w:p w14:paraId="65EE1FF7">
      <w:pPr>
        <w:rPr>
          <w:rFonts w:ascii="宋体" w:hAnsi="宋体" w:eastAsia="宋体" w:cs="宋体"/>
          <w:sz w:val="30"/>
          <w:szCs w:val="30"/>
        </w:rPr>
      </w:pPr>
      <w:r>
        <w:rPr>
          <w:rFonts w:hint="eastAsia" w:ascii="宋体" w:hAnsi="宋体" w:eastAsia="宋体" w:cs="宋体"/>
          <w:sz w:val="30"/>
          <w:szCs w:val="30"/>
        </w:rPr>
        <w:t>③ 在评标期间， 出现符合专业条件的投标人或者对招标文件作出实质响应的投标人不足3家情形的，可以比照前款规定执行。</w:t>
      </w:r>
    </w:p>
    <w:p w14:paraId="5FF4E1C3">
      <w:pPr>
        <w:rPr>
          <w:rFonts w:ascii="宋体" w:hAnsi="宋体" w:eastAsia="宋体" w:cs="宋体"/>
          <w:sz w:val="30"/>
          <w:szCs w:val="30"/>
        </w:rPr>
      </w:pPr>
      <w:r>
        <w:rPr>
          <w:rFonts w:hint="eastAsia" w:ascii="宋体" w:hAnsi="宋体" w:eastAsia="宋体" w:cs="宋体"/>
          <w:sz w:val="30"/>
          <w:szCs w:val="30"/>
        </w:rPr>
        <w:t>3 、评标工作按照第五部分“评标办法”规定的方法、评审因素、标准和程序对投标文件进行评审。第五部分“评标办法”没有规定的方法、评审因素和标准，不作为评标依据。</w:t>
      </w:r>
    </w:p>
    <w:p w14:paraId="364B5737">
      <w:pPr>
        <w:rPr>
          <w:rFonts w:ascii="宋体" w:hAnsi="宋体" w:eastAsia="宋体" w:cs="宋体"/>
          <w:sz w:val="30"/>
          <w:szCs w:val="30"/>
        </w:rPr>
      </w:pPr>
      <w:r>
        <w:rPr>
          <w:rFonts w:hint="eastAsia" w:ascii="宋体" w:hAnsi="宋体" w:eastAsia="宋体" w:cs="宋体"/>
          <w:sz w:val="30"/>
          <w:szCs w:val="30"/>
        </w:rPr>
        <w:t>4 、评标活动遵循公平、公正 、科学和性价比优先的原则</w:t>
      </w:r>
    </w:p>
    <w:p w14:paraId="5B9AF397">
      <w:pPr>
        <w:rPr>
          <w:rFonts w:ascii="宋体" w:hAnsi="宋体" w:eastAsia="宋体" w:cs="宋体"/>
          <w:sz w:val="30"/>
          <w:szCs w:val="30"/>
        </w:rPr>
      </w:pPr>
      <w:r>
        <w:rPr>
          <w:rFonts w:hint="eastAsia" w:ascii="宋体" w:hAnsi="宋体" w:eastAsia="宋体" w:cs="宋体"/>
          <w:sz w:val="30"/>
          <w:szCs w:val="30"/>
        </w:rPr>
        <w:t>八、 定标、合同签订</w:t>
      </w:r>
    </w:p>
    <w:p w14:paraId="5C555D9D">
      <w:pPr>
        <w:rPr>
          <w:rFonts w:ascii="宋体" w:hAnsi="宋体" w:eastAsia="宋体" w:cs="宋体"/>
          <w:sz w:val="30"/>
          <w:szCs w:val="30"/>
        </w:rPr>
      </w:pPr>
      <w:r>
        <w:rPr>
          <w:rFonts w:hint="eastAsia" w:ascii="宋体" w:hAnsi="宋体" w:eastAsia="宋体" w:cs="宋体"/>
          <w:sz w:val="30"/>
          <w:szCs w:val="30"/>
        </w:rPr>
        <w:t>1 、招标人依据评标工作小组最终汇总的各投标人的综合得分由高到低排序，确定最后中标人。</w:t>
      </w:r>
    </w:p>
    <w:p w14:paraId="6B052FA5">
      <w:pPr>
        <w:rPr>
          <w:rFonts w:ascii="宋体" w:hAnsi="宋体" w:eastAsia="宋体" w:cs="宋体"/>
          <w:sz w:val="30"/>
          <w:szCs w:val="30"/>
        </w:rPr>
      </w:pPr>
      <w:r>
        <w:rPr>
          <w:rFonts w:hint="eastAsia" w:ascii="宋体" w:hAnsi="宋体" w:eastAsia="宋体" w:cs="宋体"/>
          <w:sz w:val="30"/>
          <w:szCs w:val="30"/>
        </w:rPr>
        <w:t>2、 中标结果确定后，招标人以书面形式发出《中标通知书》。《中标通知书》对投标人和招标人都具有法律约束力。</w:t>
      </w:r>
    </w:p>
    <w:p w14:paraId="6750C12F">
      <w:pPr>
        <w:rPr>
          <w:rFonts w:ascii="宋体" w:hAnsi="宋体" w:eastAsia="宋体" w:cs="宋体"/>
          <w:sz w:val="30"/>
          <w:szCs w:val="30"/>
        </w:rPr>
      </w:pPr>
      <w:r>
        <w:rPr>
          <w:rFonts w:hint="eastAsia" w:ascii="宋体" w:hAnsi="宋体" w:eastAsia="宋体" w:cs="宋体"/>
          <w:sz w:val="30"/>
          <w:szCs w:val="30"/>
        </w:rPr>
        <w:t>3、 中标人收到《中标通知书》后，按规定的时间地点与招标人签订供货协议及采购合同。</w:t>
      </w:r>
    </w:p>
    <w:p w14:paraId="5C752848">
      <w:pPr>
        <w:rPr>
          <w:rFonts w:ascii="宋体" w:hAnsi="宋体" w:eastAsia="宋体" w:cs="宋体"/>
          <w:sz w:val="30"/>
          <w:szCs w:val="30"/>
        </w:rPr>
      </w:pPr>
      <w:r>
        <w:rPr>
          <w:rFonts w:hint="eastAsia" w:ascii="宋体" w:hAnsi="宋体" w:eastAsia="宋体" w:cs="宋体"/>
          <w:sz w:val="30"/>
          <w:szCs w:val="30"/>
        </w:rPr>
        <w:t>4 、如中标人拒签相关协议或合同，则按违约处理，投标保证金将不予退还。</w:t>
      </w:r>
    </w:p>
    <w:p w14:paraId="68C0B553">
      <w:pPr>
        <w:rPr>
          <w:rFonts w:ascii="宋体" w:hAnsi="宋体" w:eastAsia="宋体" w:cs="宋体"/>
          <w:sz w:val="30"/>
          <w:szCs w:val="30"/>
        </w:rPr>
      </w:pPr>
      <w:r>
        <w:rPr>
          <w:rFonts w:hint="eastAsia" w:ascii="宋体" w:hAnsi="宋体" w:eastAsia="宋体" w:cs="宋体"/>
          <w:sz w:val="30"/>
          <w:szCs w:val="30"/>
        </w:rPr>
        <w:t>九、 其他事项</w:t>
      </w:r>
    </w:p>
    <w:p w14:paraId="03C0C0E6">
      <w:pPr>
        <w:rPr>
          <w:rFonts w:ascii="宋体" w:hAnsi="宋体" w:eastAsia="宋体" w:cs="宋体"/>
          <w:sz w:val="30"/>
          <w:szCs w:val="30"/>
        </w:rPr>
      </w:pPr>
      <w:r>
        <w:rPr>
          <w:rFonts w:hint="eastAsia" w:ascii="宋体" w:hAnsi="宋体" w:eastAsia="宋体" w:cs="宋体"/>
          <w:sz w:val="30"/>
          <w:szCs w:val="30"/>
        </w:rPr>
        <w:t>1、 本招标文件是根据《中华人民共和国招标投标法》编制，解释权属招标人。</w:t>
      </w:r>
    </w:p>
    <w:p w14:paraId="0D0E3BFB">
      <w:pPr>
        <w:rPr>
          <w:rFonts w:ascii="宋体" w:hAnsi="宋体" w:eastAsia="宋体" w:cs="宋体"/>
          <w:sz w:val="30"/>
          <w:szCs w:val="30"/>
        </w:rPr>
      </w:pPr>
      <w:r>
        <w:rPr>
          <w:rFonts w:hint="eastAsia" w:ascii="宋体" w:hAnsi="宋体" w:eastAsia="宋体" w:cs="宋体"/>
          <w:sz w:val="30"/>
          <w:szCs w:val="30"/>
        </w:rPr>
        <w:t>2、 参加投标活动的各单位必须遵纪守法，严禁不正之风，不得串通投标或哄抬标价，不得损害国家和他人利益，否则取消其投标资格并追究其法律责任。</w:t>
      </w:r>
    </w:p>
    <w:p w14:paraId="18F9AA06">
      <w:pPr>
        <w:rPr>
          <w:rFonts w:ascii="宋体" w:hAnsi="宋体" w:eastAsia="宋体" w:cs="宋体"/>
          <w:sz w:val="30"/>
          <w:szCs w:val="30"/>
        </w:rPr>
      </w:pPr>
      <w:r>
        <w:rPr>
          <w:rFonts w:hint="eastAsia" w:ascii="宋体" w:hAnsi="宋体" w:eastAsia="宋体" w:cs="宋体"/>
          <w:sz w:val="30"/>
          <w:szCs w:val="30"/>
        </w:rPr>
        <w:t>3、 招标人将严格贯彻公开、公正、公平和诚实信用的原则，切实维护招标人和投标方双方利益，欢迎参加投标活动人员对招标工作进行监督。</w:t>
      </w:r>
    </w:p>
    <w:p w14:paraId="19D04982"/>
    <w:p w14:paraId="5A06E85E">
      <w:pPr>
        <w:jc w:val="center"/>
        <w:rPr>
          <w:rFonts w:hint="eastAsia"/>
          <w:sz w:val="44"/>
          <w:szCs w:val="44"/>
        </w:rPr>
      </w:pPr>
      <w:r>
        <w:rPr>
          <w:rFonts w:hint="eastAsia"/>
          <w:sz w:val="44"/>
          <w:szCs w:val="44"/>
        </w:rPr>
        <w:t xml:space="preserve"> </w:t>
      </w:r>
    </w:p>
    <w:p w14:paraId="2443A534">
      <w:pPr>
        <w:jc w:val="center"/>
        <w:rPr>
          <w:rFonts w:hint="eastAsia"/>
          <w:sz w:val="44"/>
          <w:szCs w:val="44"/>
        </w:rPr>
      </w:pPr>
    </w:p>
    <w:p w14:paraId="52570E41">
      <w:pPr>
        <w:jc w:val="center"/>
        <w:rPr>
          <w:rFonts w:hint="eastAsia"/>
          <w:sz w:val="44"/>
          <w:szCs w:val="44"/>
        </w:rPr>
      </w:pPr>
    </w:p>
    <w:p w14:paraId="1FC293A6">
      <w:pPr>
        <w:jc w:val="both"/>
        <w:rPr>
          <w:rFonts w:hint="eastAsia"/>
          <w:sz w:val="44"/>
          <w:szCs w:val="44"/>
        </w:rPr>
      </w:pPr>
    </w:p>
    <w:p w14:paraId="4B93062D">
      <w:pPr>
        <w:jc w:val="both"/>
        <w:rPr>
          <w:rFonts w:hint="eastAsia"/>
          <w:sz w:val="44"/>
          <w:szCs w:val="44"/>
        </w:rPr>
      </w:pPr>
    </w:p>
    <w:p w14:paraId="01331F71">
      <w:pPr>
        <w:jc w:val="center"/>
        <w:rPr>
          <w:rFonts w:hint="eastAsia"/>
          <w:sz w:val="44"/>
          <w:szCs w:val="44"/>
        </w:rPr>
      </w:pPr>
    </w:p>
    <w:p w14:paraId="5FD981F7">
      <w:pPr>
        <w:jc w:val="center"/>
        <w:rPr>
          <w:rFonts w:hint="eastAsia" w:asciiTheme="minorEastAsia" w:hAnsiTheme="minorEastAsia" w:eastAsiaTheme="minorEastAsia" w:cstheme="minorEastAsia"/>
          <w:sz w:val="36"/>
          <w:szCs w:val="36"/>
        </w:rPr>
      </w:pPr>
      <w:r>
        <w:rPr>
          <w:rFonts w:hint="eastAsia"/>
          <w:sz w:val="28"/>
          <w:szCs w:val="28"/>
        </w:rPr>
        <w:t xml:space="preserve"> 合同主要条款</w:t>
      </w:r>
      <w:r>
        <w:rPr>
          <w:rFonts w:hint="eastAsia" w:ascii="方正小标宋简体" w:hAnsi="方正小标宋简体" w:eastAsia="方正小标宋简体" w:cs="方正小标宋简体"/>
          <w:sz w:val="36"/>
          <w:szCs w:val="36"/>
        </w:rPr>
        <w:t xml:space="preserve"> </w:t>
      </w:r>
    </w:p>
    <w:p w14:paraId="4F439ED8">
      <w:pPr>
        <w:keepNext w:val="0"/>
        <w:keepLines w:val="0"/>
        <w:pageBreakBefore w:val="0"/>
        <w:kinsoku/>
        <w:overflowPunct/>
        <w:topLinePunct w:val="0"/>
        <w:autoSpaceDE/>
        <w:autoSpaceDN/>
        <w:bidi w:val="0"/>
        <w:adjustRightInd/>
        <w:spacing w:after="0" w:line="400" w:lineRule="exact"/>
        <w:ind w:left="5040" w:hanging="4320" w:hanging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签订地点：武汉</w:t>
      </w:r>
      <w:r>
        <w:rPr>
          <w:rFonts w:hint="eastAsia" w:asciiTheme="minorEastAsia" w:hAnsiTheme="minorEastAsia" w:eastAsiaTheme="minorEastAsia" w:cstheme="minorEastAsia"/>
          <w:b w:val="0"/>
          <w:bCs w:val="0"/>
          <w:sz w:val="24"/>
          <w:szCs w:val="24"/>
          <w:lang w:val="en-US" w:eastAsia="zh-CN"/>
        </w:rPr>
        <w:t>东湖新技术开发区</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合同编号</w:t>
      </w:r>
      <w:r>
        <w:rPr>
          <w:rFonts w:hint="eastAsia" w:asciiTheme="minorEastAsia" w:hAnsiTheme="minorEastAsia" w:eastAsiaTheme="minorEastAsia" w:cstheme="minorEastAsia"/>
          <w:b/>
          <w:bCs/>
          <w:sz w:val="24"/>
          <w:szCs w:val="24"/>
          <w:lang w:val="en-US" w:eastAsia="zh-CN"/>
        </w:rPr>
        <w:t>:GYZL-</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p>
    <w:p w14:paraId="471A86D8">
      <w:pPr>
        <w:keepNext w:val="0"/>
        <w:keepLines w:val="0"/>
        <w:pageBreakBefore w:val="0"/>
        <w:kinsoku/>
        <w:overflowPunct/>
        <w:topLinePunct w:val="0"/>
        <w:autoSpaceDE/>
        <w:autoSpaceDN/>
        <w:bidi w:val="0"/>
        <w:adjustRightInd/>
        <w:spacing w:after="80" w:line="400" w:lineRule="exact"/>
        <w:ind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需方（甲方）：</w:t>
      </w:r>
      <w:r>
        <w:rPr>
          <w:rFonts w:hint="eastAsia" w:asciiTheme="minorEastAsia" w:hAnsiTheme="minorEastAsia" w:eastAsiaTheme="minorEastAsia" w:cstheme="minorEastAsia"/>
          <w:b/>
          <w:bCs/>
          <w:sz w:val="24"/>
          <w:szCs w:val="24"/>
          <w:lang w:val="en-US" w:eastAsia="zh-CN"/>
        </w:rPr>
        <w:t>国药集团中联药业有限公司</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w:t>
      </w:r>
    </w:p>
    <w:p w14:paraId="2AC6552D">
      <w:pPr>
        <w:keepNext w:val="0"/>
        <w:keepLines w:val="0"/>
        <w:pageBreakBefore w:val="0"/>
        <w:kinsoku/>
        <w:overflowPunct/>
        <w:topLinePunct w:val="0"/>
        <w:autoSpaceDE/>
        <w:autoSpaceDN/>
        <w:bidi w:val="0"/>
        <w:adjustRightInd/>
        <w:spacing w:after="80" w:line="40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供方</w:t>
      </w:r>
      <w:r>
        <w:rPr>
          <w:rFonts w:hint="eastAsia" w:asciiTheme="minorEastAsia" w:hAnsiTheme="minorEastAsia" w:eastAsiaTheme="minorEastAsia" w:cstheme="minorEastAsia"/>
          <w:b/>
          <w:bCs/>
          <w:sz w:val="24"/>
          <w:szCs w:val="24"/>
        </w:rPr>
        <w:t>（乙方）：</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p>
    <w:p w14:paraId="7EECBCA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根据《中华人民共和国民法典》等相关法律法规，经甲、乙双方协商一致，签订本合同。</w:t>
      </w:r>
    </w:p>
    <w:p w14:paraId="6F0995DD">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一、品种及规格、技术标准及要求、数量、价格、金额、交货</w:t>
      </w:r>
      <w:r>
        <w:rPr>
          <w:rFonts w:hint="eastAsia" w:asciiTheme="minorEastAsia" w:hAnsiTheme="minorEastAsia" w:eastAsiaTheme="minorEastAsia" w:cstheme="minorEastAsia"/>
          <w:b/>
          <w:bCs/>
          <w:sz w:val="24"/>
          <w:szCs w:val="24"/>
          <w:lang w:eastAsia="zh-CN"/>
        </w:rPr>
        <w:t>时间</w:t>
      </w:r>
      <w:r>
        <w:rPr>
          <w:rFonts w:hint="eastAsia" w:asciiTheme="minorEastAsia" w:hAnsiTheme="minorEastAsia" w:eastAsiaTheme="minorEastAsia" w:cstheme="minorEastAsia"/>
          <w:b/>
          <w:bCs/>
          <w:sz w:val="24"/>
          <w:szCs w:val="24"/>
        </w:rPr>
        <w:t>等</w:t>
      </w:r>
    </w:p>
    <w:tbl>
      <w:tblPr>
        <w:tblStyle w:val="4"/>
        <w:tblpPr w:leftFromText="180" w:rightFromText="180" w:vertAnchor="text" w:horzAnchor="page" w:tblpXSpec="center" w:tblpY="418"/>
        <w:tblOverlap w:val="never"/>
        <w:tblW w:w="9824" w:type="dxa"/>
        <w:jc w:val="center"/>
        <w:tblLayout w:type="fixed"/>
        <w:tblCellMar>
          <w:top w:w="0" w:type="dxa"/>
          <w:left w:w="108" w:type="dxa"/>
          <w:bottom w:w="0" w:type="dxa"/>
          <w:right w:w="108" w:type="dxa"/>
        </w:tblCellMar>
      </w:tblPr>
      <w:tblGrid>
        <w:gridCol w:w="445"/>
        <w:gridCol w:w="1305"/>
        <w:gridCol w:w="864"/>
        <w:gridCol w:w="1980"/>
        <w:gridCol w:w="885"/>
        <w:gridCol w:w="825"/>
        <w:gridCol w:w="1086"/>
        <w:gridCol w:w="1389"/>
        <w:gridCol w:w="1045"/>
      </w:tblGrid>
      <w:tr w14:paraId="73A46BFD">
        <w:tblPrEx>
          <w:tblCellMar>
            <w:top w:w="0" w:type="dxa"/>
            <w:left w:w="108" w:type="dxa"/>
            <w:bottom w:w="0" w:type="dxa"/>
            <w:right w:w="108" w:type="dxa"/>
          </w:tblCellMar>
        </w:tblPrEx>
        <w:trPr>
          <w:trHeight w:val="470"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2899F0BE">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F0C7C5">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E4A7811">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规格</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AE16BB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技术标准及要求</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DDDBB44">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61EF3F">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kern w:val="0"/>
                <w:sz w:val="24"/>
                <w:szCs w:val="24"/>
              </w:rPr>
              <w:t>单位</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CA7D2FE">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p w14:paraId="071A0428">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E789CAA">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金额</w:t>
            </w:r>
          </w:p>
          <w:p w14:paraId="0C1839B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9D6EB91">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交货</w:t>
            </w:r>
          </w:p>
          <w:p w14:paraId="56262C0A">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时间</w:t>
            </w:r>
          </w:p>
        </w:tc>
      </w:tr>
      <w:tr w14:paraId="7402238C">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79DB47F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val="0"/>
                <w:bCs w:val="0"/>
                <w:kern w:val="0"/>
                <w:sz w:val="24"/>
                <w:szCs w:val="24"/>
                <w:lang w:val="en-US" w:eastAsia="zh-CN"/>
              </w:rPr>
              <w:t xml:space="preserve">1 </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9F8BA87">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18EFE36">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A6980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5A21A0">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FF5B8D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558DE3C">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3C5D5AB">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0EF9674">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4"/>
                <w:szCs w:val="24"/>
                <w:lang w:val="en-US"/>
              </w:rPr>
            </w:pPr>
          </w:p>
        </w:tc>
      </w:tr>
      <w:tr w14:paraId="6CC53A6E">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52A56965">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val="0"/>
                <w:bCs w:val="0"/>
                <w:kern w:val="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B5BC7EA">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E128988">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26D7CB">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sz w:val="28"/>
                <w:szCs w:val="28"/>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1D0CBF2">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D9F0EC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B7CA90C">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1FEF8D2">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55860F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8"/>
                <w:szCs w:val="28"/>
                <w:lang w:val="en-US"/>
              </w:rPr>
            </w:pPr>
          </w:p>
        </w:tc>
      </w:tr>
      <w:tr w14:paraId="39012B0A">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36139810">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val="0"/>
                <w:bCs w:val="0"/>
                <w:kern w:val="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B52E52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A421CB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053830">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sz w:val="28"/>
                <w:szCs w:val="28"/>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2B1CA9F">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51FE8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11B1C104">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C9CCB57">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3DDF98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8"/>
                <w:szCs w:val="28"/>
                <w:lang w:val="en-US"/>
              </w:rPr>
            </w:pPr>
          </w:p>
        </w:tc>
      </w:tr>
      <w:tr w14:paraId="74A32398">
        <w:tblPrEx>
          <w:tblCellMar>
            <w:top w:w="0" w:type="dxa"/>
            <w:left w:w="108" w:type="dxa"/>
            <w:bottom w:w="0" w:type="dxa"/>
            <w:right w:w="108" w:type="dxa"/>
          </w:tblCellMar>
        </w:tblPrEx>
        <w:trPr>
          <w:trHeight w:val="395" w:hRule="atLeast"/>
          <w:jc w:val="center"/>
        </w:trPr>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3C439CCC">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18"/>
                <w:szCs w:val="18"/>
                <w:lang w:eastAsia="zh-CN"/>
              </w:rPr>
            </w:pPr>
            <w:r>
              <w:rPr>
                <w:rFonts w:hint="eastAsia" w:ascii="宋体" w:hAnsi="宋体" w:eastAsia="宋体" w:cs="宋体"/>
                <w:b/>
                <w:bCs/>
                <w:kern w:val="0"/>
                <w:sz w:val="24"/>
                <w:szCs w:val="24"/>
              </w:rPr>
              <w:t>合计</w:t>
            </w:r>
            <w:r>
              <w:rPr>
                <w:rFonts w:hint="eastAsia" w:ascii="宋体" w:hAnsi="宋体" w:eastAsia="宋体" w:cs="宋体"/>
                <w:b/>
                <w:bCs/>
                <w:kern w:val="0"/>
                <w:sz w:val="24"/>
                <w:szCs w:val="24"/>
                <w:lang w:eastAsia="zh-CN"/>
              </w:rPr>
              <w:t>总金额（含税）</w:t>
            </w:r>
          </w:p>
        </w:tc>
        <w:tc>
          <w:tcPr>
            <w:tcW w:w="8074" w:type="dxa"/>
            <w:gridSpan w:val="7"/>
            <w:tcBorders>
              <w:top w:val="single" w:color="auto" w:sz="4" w:space="0"/>
              <w:left w:val="single" w:color="auto" w:sz="4" w:space="0"/>
              <w:bottom w:val="single" w:color="auto" w:sz="4" w:space="0"/>
              <w:right w:val="single" w:color="auto" w:sz="4" w:space="0"/>
            </w:tcBorders>
            <w:noWrap w:val="0"/>
            <w:vAlign w:val="center"/>
          </w:tcPr>
          <w:p w14:paraId="5B89E06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18"/>
                <w:szCs w:val="18"/>
                <w:lang w:val="en-US" w:eastAsia="zh-CN"/>
              </w:rPr>
            </w:pPr>
            <w:r>
              <w:rPr>
                <w:rFonts w:hint="eastAsia" w:ascii="宋体" w:hAnsi="宋体" w:eastAsia="宋体" w:cs="宋体"/>
                <w:b/>
                <w:bCs/>
                <w:kern w:val="0"/>
                <w:sz w:val="24"/>
                <w:szCs w:val="24"/>
              </w:rPr>
              <w:t>小写：￥</w:t>
            </w:r>
            <w:r>
              <w:rPr>
                <w:rFonts w:hint="eastAsia" w:ascii="宋体" w:hAnsi="宋体" w:cs="宋体"/>
                <w:b/>
                <w:bCs/>
                <w:kern w:val="0"/>
                <w:sz w:val="24"/>
                <w:szCs w:val="24"/>
                <w:lang w:val="en-US" w:eastAsia="zh-CN"/>
              </w:rPr>
              <w:t>元</w:t>
            </w:r>
            <w:r>
              <w:rPr>
                <w:rFonts w:hint="eastAsia" w:ascii="宋体" w:hAnsi="宋体" w:eastAsia="宋体" w:cs="宋体"/>
                <w:b/>
                <w:bCs/>
                <w:i w:val="0"/>
                <w:iCs w:val="0"/>
                <w:color w:val="000000"/>
                <w:kern w:val="0"/>
                <w:sz w:val="24"/>
                <w:szCs w:val="24"/>
                <w:u w:val="none"/>
                <w:lang w:val="en-US" w:eastAsia="zh-CN" w:bidi="ar"/>
              </w:rPr>
              <w:t>（ 大写：元</w:t>
            </w:r>
            <w:r>
              <w:rPr>
                <w:rFonts w:hint="eastAsia" w:ascii="宋体" w:hAnsi="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kern w:val="0"/>
                <w:sz w:val="18"/>
                <w:szCs w:val="18"/>
                <w:lang w:val="en-US" w:eastAsia="zh-CN"/>
              </w:rPr>
              <w:t xml:space="preserve"> </w:t>
            </w:r>
          </w:p>
        </w:tc>
      </w:tr>
    </w:tbl>
    <w:p w14:paraId="78C940F5">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二、质量要求</w:t>
      </w:r>
      <w:r>
        <w:rPr>
          <w:rFonts w:hint="eastAsia" w:asciiTheme="minorEastAsia" w:hAnsiTheme="minorEastAsia" w:eastAsiaTheme="minorEastAsia" w:cstheme="minorEastAsia"/>
          <w:b/>
          <w:bCs/>
          <w:sz w:val="24"/>
          <w:szCs w:val="24"/>
          <w:lang w:val="en-US" w:eastAsia="zh-CN"/>
        </w:rPr>
        <w:t xml:space="preserve"> </w:t>
      </w:r>
    </w:p>
    <w:p w14:paraId="1FF0E21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w:t>
      </w:r>
      <w:r>
        <w:rPr>
          <w:rFonts w:hint="eastAsia" w:asciiTheme="minorEastAsia" w:hAnsiTheme="minorEastAsia" w:eastAsiaTheme="minorEastAsia" w:cstheme="minorEastAsia"/>
          <w:sz w:val="24"/>
          <w:szCs w:val="24"/>
          <w:lang w:val="en-US" w:eastAsia="zh-CN"/>
        </w:rPr>
        <w:t>国家法律法规规定的合格以上标准且符合甲方内控标准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0C93613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.未经甲方同意，乙方不得擅自更换所送产品的技术要求及标准，否则作退货处理，乙方还应承担因送货延迟产生的一切责任</w:t>
      </w:r>
      <w:r>
        <w:rPr>
          <w:rFonts w:hint="eastAsia" w:asciiTheme="minorEastAsia" w:hAnsiTheme="minorEastAsia" w:eastAsiaTheme="minorEastAsia" w:cstheme="minorEastAsia"/>
          <w:sz w:val="24"/>
          <w:szCs w:val="24"/>
          <w:lang w:eastAsia="zh-CN"/>
        </w:rPr>
        <w:t>。</w:t>
      </w:r>
    </w:p>
    <w:p w14:paraId="2C3D2D0F">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三、包装要求</w:t>
      </w:r>
      <w:r>
        <w:rPr>
          <w:rFonts w:hint="eastAsia" w:asciiTheme="minorEastAsia" w:hAnsiTheme="minorEastAsia" w:eastAsiaTheme="minorEastAsia" w:cstheme="minorEastAsia"/>
          <w:b/>
          <w:bCs/>
          <w:sz w:val="24"/>
          <w:szCs w:val="24"/>
          <w:lang w:val="en-US" w:eastAsia="zh-CN"/>
        </w:rPr>
        <w:t xml:space="preserve"> </w:t>
      </w:r>
    </w:p>
    <w:p w14:paraId="5AE2BD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符合国家法律法规规定的产品包装的通用标准，外</w:t>
      </w:r>
      <w:r>
        <w:rPr>
          <w:rFonts w:hint="eastAsia" w:asciiTheme="minorEastAsia" w:hAnsiTheme="minorEastAsia" w:eastAsiaTheme="minorEastAsia" w:cstheme="minorEastAsia"/>
          <w:sz w:val="24"/>
          <w:szCs w:val="24"/>
        </w:rPr>
        <w:t>包装完好，不得有破损及污染，且附有标签，并完整填写。标签内容包括：品名、规格、包装数量，生产日期、供货单位等。如标签内容不符合要求，甲方有权拒绝收货。</w:t>
      </w:r>
    </w:p>
    <w:p w14:paraId="42C2E23C">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四、交货方式、时间、费用承担、运输风险</w:t>
      </w:r>
      <w:r>
        <w:rPr>
          <w:rFonts w:hint="eastAsia" w:asciiTheme="minorEastAsia" w:hAnsiTheme="minorEastAsia" w:eastAsiaTheme="minorEastAsia" w:cstheme="minorEastAsia"/>
          <w:b/>
          <w:bCs/>
          <w:sz w:val="24"/>
          <w:szCs w:val="24"/>
          <w:lang w:val="en-US" w:eastAsia="zh-CN"/>
        </w:rPr>
        <w:t xml:space="preserve"> </w:t>
      </w:r>
    </w:p>
    <w:p w14:paraId="44B3B745">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1.交货方式：乙方负责运至甲方指定收货地点</w:t>
      </w:r>
      <w:r>
        <w:rPr>
          <w:rFonts w:hint="eastAsia" w:asciiTheme="minorEastAsia" w:hAnsiTheme="minorEastAsia" w:eastAsiaTheme="minorEastAsia" w:cstheme="minorEastAsia"/>
          <w:sz w:val="24"/>
          <w:szCs w:val="24"/>
          <w:u w:val="single"/>
          <w:lang w:val="en-US" w:eastAsia="zh-CN"/>
        </w:rPr>
        <w:t xml:space="preserve"> 武汉市东湖新技术开发区高新二路379</w:t>
      </w:r>
      <w:r>
        <w:rPr>
          <w:rFonts w:hint="eastAsia" w:asciiTheme="minorEastAsia" w:hAnsiTheme="minorEastAsia" w:cstheme="minorEastAsia"/>
          <w:sz w:val="24"/>
          <w:szCs w:val="24"/>
          <w:u w:val="single"/>
          <w:lang w:val="en-US" w:eastAsia="zh-CN"/>
        </w:rPr>
        <w:t>，</w:t>
      </w:r>
      <w:r>
        <w:rPr>
          <w:rFonts w:hint="eastAsia" w:asciiTheme="minorEastAsia" w:hAnsiTheme="minorEastAsia" w:eastAsiaTheme="minorEastAsia" w:cstheme="minorEastAsia"/>
          <w:sz w:val="24"/>
          <w:szCs w:val="24"/>
          <w:lang w:val="en-US" w:eastAsia="zh-CN"/>
        </w:rPr>
        <w:t>甲方接收人签字验收合格后视为交付。</w:t>
      </w:r>
    </w:p>
    <w:p w14:paraId="271A8BC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2.交货时间：乙方按本合同约定的到货时间交货，本合同暂无约定的，按甲方指定时间交货。</w:t>
      </w:r>
    </w:p>
    <w:p w14:paraId="112B60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3.运费承担：乙方承担。</w:t>
      </w:r>
    </w:p>
    <w:p w14:paraId="6932A6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4.运输风险：货物运输的毁损、灭失等风险均由乙方承担，直至甲方签收完毕为止。</w:t>
      </w:r>
    </w:p>
    <w:p w14:paraId="58617EFA">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五、验收标准、方法及对质量问题的处理方法</w:t>
      </w:r>
      <w:r>
        <w:rPr>
          <w:rFonts w:hint="eastAsia" w:asciiTheme="minorEastAsia" w:hAnsiTheme="minorEastAsia" w:eastAsiaTheme="minorEastAsia" w:cstheme="minorEastAsia"/>
          <w:b/>
          <w:bCs/>
          <w:sz w:val="24"/>
          <w:szCs w:val="24"/>
          <w:lang w:val="en-US" w:eastAsia="zh-CN"/>
        </w:rPr>
        <w:t xml:space="preserve"> </w:t>
      </w:r>
    </w:p>
    <w:p w14:paraId="7206373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1.甲方按条款二的有关质量要求进行验收。                             </w:t>
      </w:r>
    </w:p>
    <w:p w14:paraId="231023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2.质量问题的处理方法：</w:t>
      </w:r>
    </w:p>
    <w:p w14:paraId="652609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收货数量以甲方实际接收数量为准，</w:t>
      </w:r>
      <w:r>
        <w:rPr>
          <w:rFonts w:hint="eastAsia" w:asciiTheme="minorEastAsia" w:hAnsiTheme="minorEastAsia" w:eastAsiaTheme="minorEastAsia" w:cstheme="minorEastAsia"/>
          <w:sz w:val="24"/>
          <w:szCs w:val="24"/>
        </w:rPr>
        <w:t>货物经甲方检验认定不合格，乙方应于接到通知后</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日内按甲方要求办理退货或换货手续。</w:t>
      </w:r>
    </w:p>
    <w:p w14:paraId="62A818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乙方接到甲方异议后，应在</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日内负责处理，否则即视为默认甲方提出的异议和处理意见。</w:t>
      </w:r>
    </w:p>
    <w:p w14:paraId="45BD3A75">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六、货款的结算期限及方法</w:t>
      </w:r>
      <w:r>
        <w:rPr>
          <w:rFonts w:hint="eastAsia" w:asciiTheme="minorEastAsia" w:hAnsiTheme="minorEastAsia" w:eastAsiaTheme="minorEastAsia" w:cstheme="minorEastAsia"/>
          <w:b/>
          <w:bCs/>
          <w:sz w:val="24"/>
          <w:szCs w:val="24"/>
          <w:lang w:val="en-US" w:eastAsia="zh-CN"/>
        </w:rPr>
        <w:t xml:space="preserve"> </w:t>
      </w:r>
    </w:p>
    <w:p w14:paraId="093324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甲方收</w:t>
      </w:r>
      <w:r>
        <w:rPr>
          <w:rFonts w:hint="eastAsia" w:asciiTheme="minorEastAsia" w:hAnsiTheme="minorEastAsia" w:eastAsiaTheme="minorEastAsia" w:cstheme="minorEastAsia"/>
          <w:sz w:val="24"/>
          <w:szCs w:val="24"/>
          <w:lang w:eastAsia="zh-CN"/>
        </w:rPr>
        <w:t>到</w:t>
      </w:r>
      <w:r>
        <w:rPr>
          <w:rFonts w:hint="eastAsia" w:asciiTheme="minorEastAsia" w:hAnsiTheme="minorEastAsia" w:eastAsiaTheme="minorEastAsia" w:cstheme="minorEastAsia"/>
          <w:sz w:val="24"/>
          <w:szCs w:val="24"/>
        </w:rPr>
        <w:t>货物</w:t>
      </w:r>
      <w:r>
        <w:rPr>
          <w:rFonts w:hint="eastAsia" w:asciiTheme="minorEastAsia" w:hAnsiTheme="minorEastAsia" w:eastAsiaTheme="minorEastAsia" w:cstheme="minorEastAsia"/>
          <w:sz w:val="24"/>
          <w:szCs w:val="24"/>
          <w:lang w:eastAsia="zh-CN"/>
        </w:rPr>
        <w:t>经检</w:t>
      </w:r>
      <w:r>
        <w:rPr>
          <w:rFonts w:hint="eastAsia" w:asciiTheme="minorEastAsia" w:hAnsiTheme="minorEastAsia" w:eastAsiaTheme="minorEastAsia" w:cstheme="minorEastAsia"/>
          <w:sz w:val="24"/>
          <w:szCs w:val="24"/>
        </w:rPr>
        <w:t>验</w:t>
      </w:r>
      <w:r>
        <w:rPr>
          <w:rFonts w:hint="eastAsia" w:asciiTheme="minorEastAsia" w:hAnsiTheme="minorEastAsia" w:eastAsiaTheme="minorEastAsia" w:cstheme="minorEastAsia"/>
          <w:sz w:val="24"/>
          <w:szCs w:val="24"/>
          <w:lang w:eastAsia="zh-CN"/>
        </w:rPr>
        <w:t>验</w:t>
      </w:r>
      <w:r>
        <w:rPr>
          <w:rFonts w:hint="eastAsia" w:asciiTheme="minorEastAsia" w:hAnsiTheme="minorEastAsia" w:eastAsiaTheme="minorEastAsia" w:cstheme="minorEastAsia"/>
          <w:sz w:val="24"/>
          <w:szCs w:val="24"/>
        </w:rPr>
        <w:t>收合格后通知乙方开具</w:t>
      </w:r>
      <w:r>
        <w:rPr>
          <w:rFonts w:hint="eastAsia" w:asciiTheme="minorEastAsia" w:hAnsiTheme="minorEastAsia" w:eastAsiaTheme="minorEastAsia" w:cstheme="minorEastAsia"/>
          <w:sz w:val="24"/>
          <w:szCs w:val="24"/>
          <w:lang w:val="en-US" w:eastAsia="zh-CN"/>
        </w:rPr>
        <w:t>增值税专用</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并在收到乙方货物之日起</w:t>
      </w:r>
      <w:r>
        <w:rPr>
          <w:rFonts w:hint="eastAsia" w:asciiTheme="minorEastAsia" w:hAnsiTheme="minorEastAsia" w:cstheme="minorEastAsia"/>
          <w:sz w:val="24"/>
          <w:szCs w:val="24"/>
          <w:lang w:val="en-US" w:eastAsia="zh-CN"/>
        </w:rPr>
        <w:t>45</w:t>
      </w:r>
      <w:bookmarkStart w:id="0" w:name="_GoBack"/>
      <w:bookmarkEnd w:id="0"/>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日内</w:t>
      </w:r>
      <w:r>
        <w:rPr>
          <w:rFonts w:hint="eastAsia" w:asciiTheme="minorEastAsia" w:hAnsiTheme="minorEastAsia" w:eastAsiaTheme="minorEastAsia" w:cstheme="minorEastAsia"/>
          <w:sz w:val="24"/>
          <w:szCs w:val="24"/>
          <w:lang w:val="en-US" w:eastAsia="zh-CN"/>
        </w:rPr>
        <w:t>按发票金额</w:t>
      </w:r>
      <w:r>
        <w:rPr>
          <w:rFonts w:hint="eastAsia" w:asciiTheme="minorEastAsia" w:hAnsiTheme="minorEastAsia" w:eastAsiaTheme="minorEastAsia" w:cstheme="minorEastAsia"/>
          <w:sz w:val="24"/>
          <w:szCs w:val="24"/>
        </w:rPr>
        <w:t>向乙方</w:t>
      </w:r>
      <w:r>
        <w:rPr>
          <w:rFonts w:hint="eastAsia" w:asciiTheme="minorEastAsia" w:hAnsiTheme="minorEastAsia" w:eastAsiaTheme="minorEastAsia" w:cstheme="minorEastAsia"/>
          <w:sz w:val="24"/>
          <w:szCs w:val="24"/>
          <w:lang w:val="en-US" w:eastAsia="zh-CN"/>
        </w:rPr>
        <w:t>全额电汇或承兑支付货款。</w:t>
      </w:r>
      <w:r>
        <w:rPr>
          <w:rFonts w:hint="eastAsia" w:asciiTheme="minorEastAsia" w:hAnsiTheme="minorEastAsia" w:eastAsiaTheme="minorEastAsia" w:cstheme="minorEastAsia"/>
          <w:sz w:val="24"/>
          <w:szCs w:val="24"/>
        </w:rPr>
        <w:t>（乙方提供发票作为甲方支付货款的前提）。</w:t>
      </w:r>
    </w:p>
    <w:p w14:paraId="08FBF916">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七、违约责任</w:t>
      </w:r>
      <w:r>
        <w:rPr>
          <w:rFonts w:hint="eastAsia" w:asciiTheme="minorEastAsia" w:hAnsiTheme="minorEastAsia" w:eastAsiaTheme="minorEastAsia" w:cstheme="minorEastAsia"/>
          <w:b/>
          <w:bCs/>
          <w:sz w:val="24"/>
          <w:szCs w:val="24"/>
          <w:lang w:val="en-US" w:eastAsia="zh-CN"/>
        </w:rPr>
        <w:t xml:space="preserve"> </w:t>
      </w:r>
    </w:p>
    <w:p w14:paraId="6667A13C">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1.乙方必须按合同规定的数量供货，数量允许偏差</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rPr>
        <w:t>（或经过甲方认可）；若乙方交付的货物不符合合同约定或甲方要求，乙方负责退换货，并承担退货或换货而支付的实际费用。乙方不能退换的，按不能交货处理，乙方应当立即退回甲方已支付全部费用并承担合同总金额20%的违约金。</w:t>
      </w:r>
    </w:p>
    <w:p w14:paraId="3FA63CDE">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2.乙方</w:t>
      </w:r>
      <w:r>
        <w:rPr>
          <w:rFonts w:hint="eastAsia" w:asciiTheme="minorEastAsia" w:hAnsiTheme="minorEastAsia" w:eastAsiaTheme="minorEastAsia" w:cstheme="minorEastAsia"/>
          <w:sz w:val="24"/>
          <w:szCs w:val="24"/>
          <w:lang w:val="en-US" w:eastAsia="zh-CN"/>
        </w:rPr>
        <w:t>超过约定时间</w:t>
      </w:r>
      <w:r>
        <w:rPr>
          <w:rFonts w:hint="eastAsia" w:asciiTheme="minorEastAsia" w:hAnsiTheme="minorEastAsia" w:eastAsiaTheme="minorEastAsia" w:cstheme="minorEastAsia"/>
          <w:sz w:val="24"/>
          <w:szCs w:val="24"/>
        </w:rPr>
        <w:t>交货，每逾期一日，每日按照本合同总金额的</w:t>
      </w:r>
      <w:r>
        <w:rPr>
          <w:rFonts w:hint="eastAsia" w:asciiTheme="minorEastAsia" w:hAnsiTheme="minorEastAsia" w:eastAsiaTheme="minorEastAsia" w:cstheme="minorEastAsia"/>
          <w:sz w:val="24"/>
          <w:szCs w:val="24"/>
          <w:u w:val="single"/>
          <w:lang w:val="en-US" w:eastAsia="zh-CN"/>
        </w:rPr>
        <w:t xml:space="preserve"> 3 </w:t>
      </w:r>
      <w:r>
        <w:rPr>
          <w:rFonts w:hint="eastAsia" w:asciiTheme="minorEastAsia" w:hAnsiTheme="minorEastAsia" w:eastAsiaTheme="minorEastAsia" w:cstheme="minorEastAsia"/>
          <w:sz w:val="24"/>
          <w:szCs w:val="24"/>
        </w:rPr>
        <w:t>‰向甲方支付违约金；逾期超过一个月的，甲方有权解除合同并要求乙方承担合同总金额20%的违约金。</w:t>
      </w:r>
      <w:r>
        <w:rPr>
          <w:rFonts w:hint="eastAsia" w:asciiTheme="minorEastAsia" w:hAnsiTheme="minorEastAsia" w:eastAsiaTheme="minorEastAsia" w:cstheme="minorEastAsia"/>
          <w:sz w:val="24"/>
          <w:szCs w:val="24"/>
          <w:lang w:val="en-US" w:eastAsia="zh-CN"/>
        </w:rPr>
        <w:t xml:space="preserve"> </w:t>
      </w:r>
    </w:p>
    <w:p w14:paraId="493C971F">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3</w:t>
      </w:r>
      <w:r>
        <w:rPr>
          <w:rFonts w:hint="eastAsia" w:asciiTheme="minorEastAsia" w:hAnsiTheme="minorEastAsia" w:eastAsiaTheme="minorEastAsia" w:cstheme="minorEastAsia"/>
          <w:sz w:val="24"/>
          <w:szCs w:val="24"/>
        </w:rPr>
        <w:t>.不可抗力：甲、乙双方的任何一方由于不可抗力的原因不能履行合同时，应及时向对方通报不能履行或不能完全履行的原因，在取得有关主管机关证明后，允许延期履行、部分履行或者不履行合同，并根据情况可以部分或全部</w:t>
      </w:r>
      <w:r>
        <w:rPr>
          <w:rFonts w:hint="eastAsia" w:asciiTheme="minorEastAsia" w:hAnsiTheme="minorEastAsia" w:eastAsiaTheme="minorEastAsia" w:cstheme="minorEastAsia"/>
          <w:sz w:val="24"/>
          <w:szCs w:val="24"/>
          <w:lang w:eastAsia="zh-CN"/>
        </w:rPr>
        <w:t>免于</w:t>
      </w:r>
      <w:r>
        <w:rPr>
          <w:rFonts w:hint="eastAsia" w:asciiTheme="minorEastAsia" w:hAnsiTheme="minorEastAsia" w:eastAsiaTheme="minorEastAsia" w:cstheme="minorEastAsia"/>
          <w:sz w:val="24"/>
          <w:szCs w:val="24"/>
        </w:rPr>
        <w:t>承担违约责任。</w:t>
      </w:r>
    </w:p>
    <w:p w14:paraId="36255172">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八、纠纷处理</w:t>
      </w:r>
      <w:r>
        <w:rPr>
          <w:rFonts w:hint="eastAsia" w:asciiTheme="minorEastAsia" w:hAnsiTheme="minorEastAsia" w:eastAsiaTheme="minorEastAsia" w:cstheme="minorEastAsia"/>
          <w:b/>
          <w:bCs/>
          <w:sz w:val="24"/>
          <w:szCs w:val="24"/>
          <w:lang w:val="en-US" w:eastAsia="zh-CN"/>
        </w:rPr>
        <w:t xml:space="preserve"> </w:t>
      </w:r>
    </w:p>
    <w:p w14:paraId="55794118">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本合同如发生纠纷，双方应及时协商解决，协商不成，可向</w:t>
      </w:r>
      <w:r>
        <w:rPr>
          <w:rFonts w:hint="eastAsia" w:asciiTheme="minorEastAsia" w:hAnsiTheme="minorEastAsia" w:eastAsiaTheme="minorEastAsia" w:cstheme="minorEastAsia"/>
          <w:sz w:val="24"/>
          <w:szCs w:val="24"/>
          <w:lang w:eastAsia="zh-CN"/>
        </w:rPr>
        <w:t>原告方</w:t>
      </w:r>
      <w:r>
        <w:rPr>
          <w:rFonts w:hint="eastAsia" w:asciiTheme="minorEastAsia" w:hAnsiTheme="minorEastAsia" w:eastAsiaTheme="minorEastAsia" w:cstheme="minorEastAsia"/>
          <w:sz w:val="24"/>
          <w:szCs w:val="24"/>
        </w:rPr>
        <w:t>所在地人民法院提起诉讼。</w:t>
      </w:r>
    </w:p>
    <w:p w14:paraId="0990A7E6">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九、知识产权条款</w:t>
      </w:r>
      <w:r>
        <w:rPr>
          <w:rFonts w:hint="eastAsia" w:asciiTheme="minorEastAsia" w:hAnsiTheme="minorEastAsia" w:eastAsiaTheme="minorEastAsia" w:cstheme="minorEastAsia"/>
          <w:b/>
          <w:bCs/>
          <w:sz w:val="24"/>
          <w:szCs w:val="24"/>
          <w:lang w:val="en-US" w:eastAsia="zh-CN"/>
        </w:rPr>
        <w:t xml:space="preserve"> </w:t>
      </w:r>
    </w:p>
    <w:p w14:paraId="24F24F58">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乙方保证所提供的货品所涉及的生产工艺等不侵犯任何第三方的知识产权。否则，由此发生知识产权纠纷时，乙方应承担一切经济和法律责任。</w:t>
      </w:r>
    </w:p>
    <w:p w14:paraId="189367CA">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十、其他</w:t>
      </w:r>
      <w:r>
        <w:rPr>
          <w:rFonts w:hint="eastAsia" w:asciiTheme="minorEastAsia" w:hAnsiTheme="minorEastAsia" w:eastAsiaTheme="minorEastAsia" w:cstheme="minorEastAsia"/>
          <w:b/>
          <w:bCs/>
          <w:sz w:val="24"/>
          <w:szCs w:val="24"/>
          <w:lang w:val="en-US" w:eastAsia="zh-CN"/>
        </w:rPr>
        <w:t xml:space="preserve"> </w:t>
      </w:r>
    </w:p>
    <w:p w14:paraId="555886DF">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1.本合同未尽事宜，双方</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作出补充协议，补充协议与本合同具有同等法律效力</w:t>
      </w:r>
      <w:r>
        <w:rPr>
          <w:rFonts w:hint="eastAsia" w:asciiTheme="minorEastAsia" w:hAnsiTheme="minorEastAsia" w:eastAsiaTheme="minorEastAsia" w:cstheme="minorEastAsia"/>
          <w:sz w:val="24"/>
          <w:szCs w:val="24"/>
          <w:lang w:eastAsia="zh-CN"/>
        </w:rPr>
        <w:t>。</w:t>
      </w:r>
    </w:p>
    <w:p w14:paraId="7E3D727D">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2.凡本合同的通知，均通过本合同所列授权代表、联系方式、地址进行联系送达，一方变更的，应当及时书面通知对方，否则自行承担相应的法律责任。</w:t>
      </w:r>
    </w:p>
    <w:p w14:paraId="1C90C0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.本合同</w:t>
      </w:r>
      <w:r>
        <w:rPr>
          <w:rFonts w:hint="eastAsia" w:asciiTheme="minorEastAsia" w:hAnsiTheme="minorEastAsia" w:eastAsiaTheme="minorEastAsia" w:cstheme="minorEastAsia"/>
          <w:sz w:val="24"/>
          <w:szCs w:val="24"/>
          <w:lang w:eastAsia="zh-CN"/>
        </w:rPr>
        <w:t>壹式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两</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份</w:t>
      </w:r>
      <w:r>
        <w:rPr>
          <w:rFonts w:hint="eastAsia" w:asciiTheme="minorEastAsia" w:hAnsiTheme="minorEastAsia" w:eastAsiaTheme="minorEastAsia" w:cstheme="minorEastAsia"/>
          <w:sz w:val="24"/>
          <w:szCs w:val="24"/>
        </w:rPr>
        <w:t>，双方各执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份，具有同等法律效力；经甲乙双方盖章后生效。</w:t>
      </w:r>
    </w:p>
    <w:p w14:paraId="53E6C4C2">
      <w:pPr>
        <w:keepNext w:val="0"/>
        <w:keepLines w:val="0"/>
        <w:pageBreakBefore w:val="0"/>
        <w:numPr>
          <w:ilvl w:val="0"/>
          <w:numId w:val="0"/>
        </w:numPr>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p>
    <w:p w14:paraId="4655F65C">
      <w:pPr>
        <w:keepNext w:val="0"/>
        <w:keepLines w:val="0"/>
        <w:pageBreakBefore w:val="0"/>
        <w:numPr>
          <w:ilvl w:val="0"/>
          <w:numId w:val="0"/>
        </w:numPr>
        <w:kinsoku/>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本合同由以下各方于</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lang w:eastAsia="zh-CN"/>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日签订。</w:t>
      </w:r>
    </w:p>
    <w:p w14:paraId="76698BD6">
      <w:pPr>
        <w:keepNext w:val="0"/>
        <w:keepLines w:val="0"/>
        <w:pageBreakBefore w:val="0"/>
        <w:numPr>
          <w:ilvl w:val="0"/>
          <w:numId w:val="0"/>
        </w:numPr>
        <w:kinsoku/>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lang w:eastAsia="zh-CN"/>
        </w:rPr>
      </w:pPr>
    </w:p>
    <w:p w14:paraId="30F6609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甲方（盖章）：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乙方（盖章）</w:t>
      </w:r>
      <w:r>
        <w:rPr>
          <w:rFonts w:hint="eastAsia" w:asciiTheme="minorEastAsia" w:hAnsiTheme="minorEastAsia" w:eastAsiaTheme="minorEastAsia" w:cstheme="minorEastAsia"/>
          <w:b/>
          <w:bCs/>
          <w:sz w:val="24"/>
          <w:szCs w:val="24"/>
          <w:lang w:eastAsia="zh-CN"/>
        </w:rPr>
        <w:t>：</w:t>
      </w:r>
    </w:p>
    <w:p w14:paraId="4EF33DC3">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 xml:space="preserve">代表（签字）：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代表（签字）：</w:t>
      </w:r>
      <w:r>
        <w:rPr>
          <w:rFonts w:hint="eastAsia" w:asciiTheme="minorEastAsia" w:hAnsiTheme="minorEastAsia" w:eastAsiaTheme="minorEastAsia" w:cstheme="minorEastAsia"/>
          <w:b/>
          <w:bCs/>
          <w:sz w:val="24"/>
          <w:szCs w:val="24"/>
          <w:lang w:val="en-US" w:eastAsia="zh-CN"/>
        </w:rPr>
        <w:t xml:space="preserve"> </w:t>
      </w:r>
    </w:p>
    <w:p w14:paraId="4AF1913B">
      <w:pPr>
        <w:rPr>
          <w:rFonts w:hint="eastAsia"/>
          <w:lang w:val="en-US" w:eastAsia="zh-CN"/>
        </w:rPr>
      </w:pPr>
      <w:r>
        <w:rPr>
          <w:rFonts w:hint="eastAsia"/>
          <w:lang w:val="en-US" w:eastAsia="zh-CN"/>
        </w:rPr>
        <w:t xml:space="preserve">    </w:t>
      </w:r>
    </w:p>
    <w:p w14:paraId="1F79AB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b/>
          <w:bCs/>
          <w:sz w:val="24"/>
          <w:szCs w:val="24"/>
          <w:lang w:val="en-US" w:eastAsia="zh-CN"/>
        </w:rPr>
      </w:pPr>
      <w:r>
        <w:rPr>
          <w:rFonts w:hint="eastAsia"/>
          <w:b/>
          <w:bCs/>
          <w:sz w:val="24"/>
          <w:szCs w:val="24"/>
          <w:lang w:val="en-US" w:eastAsia="zh-CN"/>
        </w:rPr>
        <w:t xml:space="preserve">开户行： </w:t>
      </w:r>
      <w:r>
        <w:rPr>
          <w:rFonts w:hint="eastAsia" w:ascii="宋体"/>
          <w:b/>
          <w:bCs/>
          <w:sz w:val="24"/>
          <w:szCs w:val="24"/>
          <w:lang w:val="en-US" w:eastAsia="zh-CN"/>
        </w:rPr>
        <w:t>中信银行武汉自贸区支行</w:t>
      </w:r>
      <w:r>
        <w:rPr>
          <w:rFonts w:hint="eastAsia"/>
          <w:b/>
          <w:bCs/>
          <w:sz w:val="24"/>
          <w:szCs w:val="24"/>
          <w:lang w:val="en-US" w:eastAsia="zh-CN"/>
        </w:rPr>
        <w:t xml:space="preserve">               开户行：</w:t>
      </w:r>
    </w:p>
    <w:p w14:paraId="22E279D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账 号：7382910182600006466                    账 号：</w:t>
      </w:r>
    </w:p>
    <w:p w14:paraId="4FAEF8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税 号：</w:t>
      </w:r>
      <w:r>
        <w:rPr>
          <w:rFonts w:hint="eastAsia" w:ascii="宋体"/>
          <w:b/>
          <w:bCs/>
          <w:sz w:val="24"/>
          <w:szCs w:val="24"/>
        </w:rPr>
        <w:t>91</w:t>
      </w:r>
      <w:r>
        <w:rPr>
          <w:rFonts w:hint="eastAsia" w:ascii="宋体"/>
          <w:b/>
          <w:bCs/>
          <w:sz w:val="24"/>
          <w:szCs w:val="24"/>
          <w:lang w:val="en-US" w:eastAsia="zh-CN"/>
        </w:rPr>
        <w:t>420100707189353P                     税 号：</w:t>
      </w:r>
    </w:p>
    <w:p w14:paraId="3420ED51"/>
    <w:p w14:paraId="37CB617C"/>
    <w:p w14:paraId="10FE7819">
      <w:pPr>
        <w:jc w:val="center"/>
        <w:rPr>
          <w:sz w:val="44"/>
          <w:szCs w:val="44"/>
        </w:rPr>
      </w:pPr>
      <w:r>
        <w:rPr>
          <w:rFonts w:hint="eastAsia"/>
          <w:sz w:val="44"/>
          <w:szCs w:val="44"/>
        </w:rPr>
        <w:t>技术条款</w:t>
      </w:r>
    </w:p>
    <w:p w14:paraId="2A75D285">
      <w:pPr>
        <w:ind w:firstLine="560" w:firstLineChars="200"/>
        <w:rPr>
          <w:sz w:val="28"/>
          <w:szCs w:val="28"/>
        </w:rPr>
      </w:pPr>
    </w:p>
    <w:p w14:paraId="6A3F47C2">
      <w:pPr>
        <w:ind w:firstLine="643" w:firstLineChars="200"/>
        <w:rPr>
          <w:rFonts w:hint="eastAsia" w:ascii="宋体" w:hAnsi="宋体" w:eastAsia="宋体" w:cs="宋体"/>
          <w:snapToGrid w:val="0"/>
          <w:color w:val="334861"/>
          <w:spacing w:val="3"/>
          <w:kern w:val="0"/>
          <w:sz w:val="30"/>
          <w:szCs w:val="30"/>
          <w:lang w:val="en-US" w:eastAsia="zh-CN"/>
        </w:rPr>
      </w:pPr>
      <w:r>
        <w:rPr>
          <w:rFonts w:hint="eastAsia"/>
          <w:b/>
          <w:bCs/>
          <w:sz w:val="32"/>
          <w:szCs w:val="32"/>
          <w:lang w:val="en-US" w:eastAsia="zh-CN"/>
        </w:rPr>
        <w:t>见附件2</w:t>
      </w:r>
    </w:p>
    <w:p w14:paraId="2836F463">
      <w:pPr>
        <w:widowControl/>
        <w:numPr>
          <w:ilvl w:val="0"/>
          <w:numId w:val="0"/>
        </w:numPr>
        <w:tabs>
          <w:tab w:val="left" w:pos="3807"/>
          <w:tab w:val="center" w:pos="4997"/>
        </w:tabs>
        <w:kinsoku w:val="0"/>
        <w:autoSpaceDE w:val="0"/>
        <w:autoSpaceDN w:val="0"/>
        <w:adjustRightInd w:val="0"/>
        <w:snapToGrid w:val="0"/>
        <w:spacing w:before="98" w:line="219" w:lineRule="auto"/>
        <w:ind w:left="0" w:leftChars="0" w:firstLine="3672" w:firstLineChars="1200"/>
        <w:jc w:val="both"/>
        <w:textAlignment w:val="baseline"/>
        <w:rPr>
          <w:rFonts w:ascii="宋体" w:hAnsi="宋体" w:eastAsia="宋体" w:cs="宋体"/>
          <w:snapToGrid w:val="0"/>
          <w:color w:val="auto"/>
          <w:spacing w:val="3"/>
          <w:kern w:val="0"/>
          <w:sz w:val="30"/>
          <w:szCs w:val="30"/>
        </w:rPr>
      </w:pPr>
      <w:r>
        <w:rPr>
          <w:rFonts w:hint="eastAsia" w:ascii="宋体" w:hAnsi="宋体" w:eastAsia="宋体" w:cs="宋体"/>
          <w:snapToGrid w:val="0"/>
          <w:color w:val="auto"/>
          <w:spacing w:val="3"/>
          <w:kern w:val="0"/>
          <w:sz w:val="30"/>
          <w:szCs w:val="30"/>
          <w:lang w:val="en-US" w:eastAsia="zh-CN"/>
        </w:rPr>
        <w:t>投</w:t>
      </w:r>
      <w:r>
        <w:rPr>
          <w:rFonts w:ascii="宋体" w:hAnsi="宋体" w:eastAsia="宋体" w:cs="宋体"/>
          <w:snapToGrid w:val="0"/>
          <w:color w:val="auto"/>
          <w:spacing w:val="3"/>
          <w:kern w:val="0"/>
          <w:sz w:val="30"/>
          <w:szCs w:val="30"/>
        </w:rPr>
        <w:t>标物料清单</w:t>
      </w:r>
    </w:p>
    <w:p w14:paraId="366D65D4">
      <w:pPr>
        <w:widowControl/>
        <w:numPr>
          <w:ilvl w:val="0"/>
          <w:numId w:val="0"/>
        </w:numPr>
        <w:kinsoku w:val="0"/>
        <w:autoSpaceDE w:val="0"/>
        <w:autoSpaceDN w:val="0"/>
        <w:adjustRightInd w:val="0"/>
        <w:snapToGrid w:val="0"/>
        <w:spacing w:before="98" w:line="219" w:lineRule="auto"/>
        <w:ind w:leftChars="0"/>
        <w:jc w:val="both"/>
        <w:textAlignment w:val="baseline"/>
        <w:rPr>
          <w:rFonts w:ascii="宋体" w:hAnsi="宋体" w:eastAsia="宋体" w:cs="宋体"/>
          <w:snapToGrid w:val="0"/>
          <w:color w:val="334861"/>
          <w:spacing w:val="3"/>
          <w:kern w:val="0"/>
          <w:sz w:val="30"/>
          <w:szCs w:val="30"/>
        </w:rPr>
      </w:pPr>
    </w:p>
    <w:p w14:paraId="42F33A79">
      <w:pPr>
        <w:widowControl/>
        <w:kinsoku w:val="0"/>
        <w:autoSpaceDE w:val="0"/>
        <w:autoSpaceDN w:val="0"/>
        <w:adjustRightInd w:val="0"/>
        <w:snapToGrid w:val="0"/>
        <w:spacing w:line="106" w:lineRule="exact"/>
        <w:jc w:val="left"/>
        <w:textAlignment w:val="baseline"/>
        <w:rPr>
          <w:rFonts w:ascii="Arial" w:hAnsi="Arial" w:eastAsia="Arial" w:cs="Arial"/>
          <w:snapToGrid w:val="0"/>
          <w:color w:val="000000"/>
          <w:kern w:val="0"/>
          <w:szCs w:val="21"/>
        </w:rPr>
      </w:pPr>
    </w:p>
    <w:tbl>
      <w:tblPr>
        <w:tblStyle w:val="5"/>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92"/>
        <w:gridCol w:w="1875"/>
        <w:gridCol w:w="1500"/>
        <w:gridCol w:w="1455"/>
        <w:gridCol w:w="1371"/>
        <w:gridCol w:w="1359"/>
      </w:tblGrid>
      <w:tr w14:paraId="7BF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7C765A67">
            <w:pPr>
              <w:spacing w:before="98" w:line="219" w:lineRule="auto"/>
              <w:ind w:left="0" w:leftChars="0"/>
              <w:jc w:val="both"/>
              <w:rPr>
                <w:rFonts w:hint="eastAsia"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1"/>
                <w:w w:val="93"/>
                <w:kern w:val="0"/>
                <w:sz w:val="30"/>
                <w:szCs w:val="30"/>
                <w:fitText w:val="1121" w:id="1359493104"/>
                <w:vertAlign w:val="baseline"/>
                <w:lang w:val="en-US" w:eastAsia="zh-CN"/>
              </w:rPr>
              <w:t>投标品</w:t>
            </w:r>
            <w:r>
              <w:rPr>
                <w:rFonts w:hint="eastAsia" w:ascii="宋体" w:hAnsi="宋体" w:eastAsia="宋体" w:cs="宋体"/>
                <w:color w:val="auto"/>
                <w:spacing w:val="0"/>
                <w:w w:val="93"/>
                <w:kern w:val="0"/>
                <w:sz w:val="30"/>
                <w:szCs w:val="30"/>
                <w:fitText w:val="1121" w:id="1359493104"/>
                <w:vertAlign w:val="baseline"/>
                <w:lang w:val="en-US" w:eastAsia="zh-CN"/>
              </w:rPr>
              <w:t>种</w:t>
            </w:r>
          </w:p>
        </w:tc>
        <w:tc>
          <w:tcPr>
            <w:tcW w:w="1392" w:type="dxa"/>
          </w:tcPr>
          <w:p w14:paraId="2C1757C6">
            <w:pPr>
              <w:spacing w:before="98" w:line="219" w:lineRule="auto"/>
              <w:ind w:left="0" w:leftChars="0"/>
              <w:rPr>
                <w:rFonts w:hint="default"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0"/>
                <w:kern w:val="0"/>
                <w:sz w:val="30"/>
                <w:szCs w:val="30"/>
                <w:fitText w:val="1200" w:id="372400069"/>
                <w:vertAlign w:val="baseline"/>
                <w:lang w:val="en-US" w:eastAsia="zh-CN"/>
              </w:rPr>
              <w:t>投标数量</w:t>
            </w:r>
          </w:p>
        </w:tc>
        <w:tc>
          <w:tcPr>
            <w:tcW w:w="1875" w:type="dxa"/>
          </w:tcPr>
          <w:p w14:paraId="50A45E01">
            <w:pPr>
              <w:spacing w:before="98" w:line="219" w:lineRule="auto"/>
              <w:ind w:left="0" w:leftChars="0"/>
              <w:jc w:val="center"/>
              <w:rPr>
                <w:rFonts w:ascii="宋体" w:hAnsi="宋体" w:eastAsia="宋体" w:cs="宋体"/>
                <w:color w:val="auto"/>
                <w:spacing w:val="3"/>
                <w:sz w:val="30"/>
                <w:szCs w:val="30"/>
                <w:vertAlign w:val="baseline"/>
              </w:rPr>
            </w:pPr>
            <w:r>
              <w:rPr>
                <w:rFonts w:hint="eastAsia" w:ascii="宋体" w:hAnsi="宋体" w:eastAsia="宋体" w:cs="宋体"/>
                <w:color w:val="auto"/>
                <w:spacing w:val="3"/>
                <w:sz w:val="30"/>
                <w:szCs w:val="30"/>
                <w:vertAlign w:val="baseline"/>
              </w:rPr>
              <w:t>不含税报价 (元/Kg)</w:t>
            </w:r>
          </w:p>
        </w:tc>
        <w:tc>
          <w:tcPr>
            <w:tcW w:w="1500" w:type="dxa"/>
          </w:tcPr>
          <w:p w14:paraId="47CE4FB4">
            <w:pPr>
              <w:spacing w:before="98" w:line="219" w:lineRule="auto"/>
              <w:ind w:left="0" w:leftChars="0"/>
              <w:rPr>
                <w:rFonts w:hint="eastAsia" w:ascii="宋体" w:hAnsi="宋体" w:eastAsia="宋体" w:cs="宋体"/>
                <w:color w:val="auto"/>
                <w:spacing w:val="3"/>
                <w:sz w:val="30"/>
                <w:szCs w:val="30"/>
                <w:vertAlign w:val="baseline"/>
                <w:lang w:eastAsia="zh-CN"/>
              </w:rPr>
            </w:pPr>
            <w:r>
              <w:rPr>
                <w:rFonts w:hint="eastAsia" w:ascii="宋体" w:hAnsi="宋体" w:eastAsia="宋体" w:cs="宋体"/>
                <w:color w:val="auto"/>
                <w:spacing w:val="3"/>
                <w:sz w:val="30"/>
                <w:szCs w:val="30"/>
                <w:vertAlign w:val="baseline"/>
              </w:rPr>
              <w:t>含税报价 (元/Kg</w:t>
            </w:r>
            <w:r>
              <w:rPr>
                <w:rFonts w:hint="eastAsia" w:ascii="宋体" w:hAnsi="宋体" w:eastAsia="宋体" w:cs="宋体"/>
                <w:color w:val="auto"/>
                <w:spacing w:val="3"/>
                <w:sz w:val="30"/>
                <w:szCs w:val="30"/>
                <w:vertAlign w:val="baseline"/>
                <w:lang w:eastAsia="zh-CN"/>
              </w:rPr>
              <w:t>）</w:t>
            </w:r>
          </w:p>
        </w:tc>
        <w:tc>
          <w:tcPr>
            <w:tcW w:w="1455" w:type="dxa"/>
          </w:tcPr>
          <w:p w14:paraId="57B2A8C6">
            <w:pPr>
              <w:spacing w:before="98" w:line="219" w:lineRule="auto"/>
              <w:ind w:left="0" w:leftChars="0"/>
              <w:rPr>
                <w:rFonts w:ascii="宋体" w:hAnsi="宋体" w:eastAsia="宋体" w:cs="宋体"/>
                <w:color w:val="auto"/>
                <w:spacing w:val="3"/>
                <w:sz w:val="30"/>
                <w:szCs w:val="30"/>
                <w:vertAlign w:val="baseline"/>
              </w:rPr>
            </w:pPr>
            <w:r>
              <w:rPr>
                <w:rFonts w:hint="eastAsia" w:ascii="宋体" w:hAnsi="宋体" w:eastAsia="宋体" w:cs="宋体"/>
                <w:snapToGrid/>
                <w:color w:val="auto"/>
                <w:spacing w:val="3"/>
                <w:kern w:val="0"/>
                <w:sz w:val="30"/>
                <w:szCs w:val="30"/>
                <w:lang w:val="en-US" w:eastAsia="zh-CN" w:bidi="ar"/>
              </w:rPr>
              <w:t>含税报价 金额(元)</w:t>
            </w:r>
          </w:p>
        </w:tc>
        <w:tc>
          <w:tcPr>
            <w:tcW w:w="1371" w:type="dxa"/>
          </w:tcPr>
          <w:p w14:paraId="236CB725">
            <w:pPr>
              <w:spacing w:before="98" w:line="219" w:lineRule="auto"/>
              <w:ind w:left="0" w:leftChars="0"/>
              <w:rPr>
                <w:rFonts w:ascii="宋体" w:hAnsi="宋体" w:eastAsia="宋体" w:cs="宋体"/>
                <w:color w:val="auto"/>
                <w:spacing w:val="3"/>
                <w:sz w:val="30"/>
                <w:szCs w:val="30"/>
                <w:vertAlign w:val="baseline"/>
              </w:rPr>
            </w:pPr>
            <w:r>
              <w:rPr>
                <w:rFonts w:hint="eastAsia" w:ascii="宋体" w:hAnsi="宋体" w:eastAsia="宋体" w:cs="宋体"/>
                <w:color w:val="auto"/>
                <w:spacing w:val="0"/>
                <w:w w:val="97"/>
                <w:kern w:val="0"/>
                <w:sz w:val="30"/>
                <w:szCs w:val="30"/>
                <w:fitText w:val="1164" w:id="1959475442"/>
                <w:vertAlign w:val="baseline"/>
              </w:rPr>
              <w:t>到货地</w:t>
            </w:r>
            <w:r>
              <w:rPr>
                <w:rFonts w:hint="eastAsia" w:ascii="宋体" w:hAnsi="宋体" w:eastAsia="宋体" w:cs="宋体"/>
                <w:color w:val="auto"/>
                <w:spacing w:val="1"/>
                <w:w w:val="97"/>
                <w:kern w:val="0"/>
                <w:sz w:val="30"/>
                <w:szCs w:val="30"/>
                <w:fitText w:val="1164" w:id="1959475442"/>
                <w:vertAlign w:val="baseline"/>
              </w:rPr>
              <w:t>点</w:t>
            </w:r>
          </w:p>
        </w:tc>
        <w:tc>
          <w:tcPr>
            <w:tcW w:w="1359" w:type="dxa"/>
          </w:tcPr>
          <w:p w14:paraId="04B6F33C">
            <w:pPr>
              <w:spacing w:before="98" w:line="219" w:lineRule="auto"/>
              <w:ind w:left="0" w:leftChars="0"/>
              <w:rPr>
                <w:rFonts w:hint="default"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0"/>
                <w:kern w:val="0"/>
                <w:sz w:val="30"/>
                <w:szCs w:val="30"/>
                <w:fitText w:val="1200" w:id="1306014308"/>
                <w:vertAlign w:val="baseline"/>
                <w:lang w:val="en-US" w:eastAsia="zh-CN"/>
              </w:rPr>
              <w:t>供货周期</w:t>
            </w:r>
          </w:p>
        </w:tc>
      </w:tr>
      <w:tr w14:paraId="6CA4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6" w:type="dxa"/>
          </w:tcPr>
          <w:p w14:paraId="4172B14B">
            <w:pPr>
              <w:spacing w:before="98" w:line="219" w:lineRule="auto"/>
              <w:rPr>
                <w:rFonts w:ascii="宋体" w:hAnsi="宋体" w:eastAsia="宋体" w:cs="宋体"/>
                <w:color w:val="auto"/>
                <w:spacing w:val="3"/>
                <w:sz w:val="30"/>
                <w:szCs w:val="30"/>
                <w:vertAlign w:val="baseline"/>
              </w:rPr>
            </w:pPr>
          </w:p>
        </w:tc>
        <w:tc>
          <w:tcPr>
            <w:tcW w:w="1392" w:type="dxa"/>
          </w:tcPr>
          <w:p w14:paraId="5B375FFB">
            <w:pPr>
              <w:spacing w:before="98" w:line="219" w:lineRule="auto"/>
              <w:rPr>
                <w:rFonts w:ascii="宋体" w:hAnsi="宋体" w:eastAsia="宋体" w:cs="宋体"/>
                <w:color w:val="auto"/>
                <w:spacing w:val="3"/>
                <w:sz w:val="30"/>
                <w:szCs w:val="30"/>
                <w:vertAlign w:val="baseline"/>
              </w:rPr>
            </w:pPr>
          </w:p>
        </w:tc>
        <w:tc>
          <w:tcPr>
            <w:tcW w:w="1875" w:type="dxa"/>
          </w:tcPr>
          <w:p w14:paraId="4913583F">
            <w:pPr>
              <w:spacing w:before="98" w:line="219" w:lineRule="auto"/>
              <w:rPr>
                <w:rFonts w:ascii="宋体" w:hAnsi="宋体" w:eastAsia="宋体" w:cs="宋体"/>
                <w:color w:val="auto"/>
                <w:spacing w:val="3"/>
                <w:sz w:val="30"/>
                <w:szCs w:val="30"/>
                <w:vertAlign w:val="baseline"/>
              </w:rPr>
            </w:pPr>
          </w:p>
        </w:tc>
        <w:tc>
          <w:tcPr>
            <w:tcW w:w="1500" w:type="dxa"/>
          </w:tcPr>
          <w:p w14:paraId="5E168573">
            <w:pPr>
              <w:spacing w:before="98" w:line="219" w:lineRule="auto"/>
              <w:rPr>
                <w:rFonts w:ascii="宋体" w:hAnsi="宋体" w:eastAsia="宋体" w:cs="宋体"/>
                <w:color w:val="auto"/>
                <w:spacing w:val="3"/>
                <w:sz w:val="30"/>
                <w:szCs w:val="30"/>
                <w:vertAlign w:val="baseline"/>
              </w:rPr>
            </w:pPr>
          </w:p>
        </w:tc>
        <w:tc>
          <w:tcPr>
            <w:tcW w:w="1455" w:type="dxa"/>
          </w:tcPr>
          <w:p w14:paraId="0EF25332">
            <w:pPr>
              <w:spacing w:before="98" w:line="219" w:lineRule="auto"/>
              <w:rPr>
                <w:rFonts w:ascii="宋体" w:hAnsi="宋体" w:eastAsia="宋体" w:cs="宋体"/>
                <w:color w:val="auto"/>
                <w:spacing w:val="3"/>
                <w:sz w:val="30"/>
                <w:szCs w:val="30"/>
                <w:vertAlign w:val="baseline"/>
              </w:rPr>
            </w:pPr>
          </w:p>
        </w:tc>
        <w:tc>
          <w:tcPr>
            <w:tcW w:w="1371" w:type="dxa"/>
          </w:tcPr>
          <w:p w14:paraId="10851DD4">
            <w:pPr>
              <w:spacing w:before="98" w:line="219" w:lineRule="auto"/>
              <w:rPr>
                <w:rFonts w:ascii="宋体" w:hAnsi="宋体" w:eastAsia="宋体" w:cs="宋体"/>
                <w:color w:val="auto"/>
                <w:spacing w:val="3"/>
                <w:sz w:val="30"/>
                <w:szCs w:val="30"/>
                <w:vertAlign w:val="baseline"/>
              </w:rPr>
            </w:pPr>
          </w:p>
        </w:tc>
        <w:tc>
          <w:tcPr>
            <w:tcW w:w="1359" w:type="dxa"/>
          </w:tcPr>
          <w:p w14:paraId="5DE84015">
            <w:pPr>
              <w:spacing w:before="98" w:line="219" w:lineRule="auto"/>
              <w:rPr>
                <w:rFonts w:ascii="宋体" w:hAnsi="宋体" w:eastAsia="宋体" w:cs="宋体"/>
                <w:color w:val="auto"/>
                <w:spacing w:val="3"/>
                <w:sz w:val="30"/>
                <w:szCs w:val="30"/>
                <w:vertAlign w:val="baseline"/>
              </w:rPr>
            </w:pPr>
          </w:p>
        </w:tc>
      </w:tr>
      <w:tr w14:paraId="0EC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598A3C69">
            <w:pPr>
              <w:spacing w:before="98" w:line="219" w:lineRule="auto"/>
              <w:rPr>
                <w:rFonts w:ascii="宋体" w:hAnsi="宋体" w:eastAsia="宋体" w:cs="宋体"/>
                <w:color w:val="auto"/>
                <w:spacing w:val="3"/>
                <w:sz w:val="30"/>
                <w:szCs w:val="30"/>
                <w:vertAlign w:val="baseline"/>
              </w:rPr>
            </w:pPr>
          </w:p>
        </w:tc>
        <w:tc>
          <w:tcPr>
            <w:tcW w:w="1392" w:type="dxa"/>
          </w:tcPr>
          <w:p w14:paraId="5837B49D">
            <w:pPr>
              <w:spacing w:before="98" w:line="219" w:lineRule="auto"/>
              <w:rPr>
                <w:rFonts w:ascii="宋体" w:hAnsi="宋体" w:eastAsia="宋体" w:cs="宋体"/>
                <w:color w:val="auto"/>
                <w:spacing w:val="3"/>
                <w:sz w:val="30"/>
                <w:szCs w:val="30"/>
                <w:vertAlign w:val="baseline"/>
              </w:rPr>
            </w:pPr>
          </w:p>
        </w:tc>
        <w:tc>
          <w:tcPr>
            <w:tcW w:w="1875" w:type="dxa"/>
          </w:tcPr>
          <w:p w14:paraId="23D4EA7B">
            <w:pPr>
              <w:spacing w:before="98" w:line="219" w:lineRule="auto"/>
              <w:rPr>
                <w:rFonts w:ascii="宋体" w:hAnsi="宋体" w:eastAsia="宋体" w:cs="宋体"/>
                <w:color w:val="auto"/>
                <w:spacing w:val="3"/>
                <w:sz w:val="30"/>
                <w:szCs w:val="30"/>
                <w:vertAlign w:val="baseline"/>
              </w:rPr>
            </w:pPr>
          </w:p>
        </w:tc>
        <w:tc>
          <w:tcPr>
            <w:tcW w:w="1500" w:type="dxa"/>
          </w:tcPr>
          <w:p w14:paraId="2A9D6363">
            <w:pPr>
              <w:spacing w:before="98" w:line="219" w:lineRule="auto"/>
              <w:rPr>
                <w:rFonts w:ascii="宋体" w:hAnsi="宋体" w:eastAsia="宋体" w:cs="宋体"/>
                <w:color w:val="auto"/>
                <w:spacing w:val="3"/>
                <w:sz w:val="30"/>
                <w:szCs w:val="30"/>
                <w:vertAlign w:val="baseline"/>
              </w:rPr>
            </w:pPr>
          </w:p>
        </w:tc>
        <w:tc>
          <w:tcPr>
            <w:tcW w:w="1455" w:type="dxa"/>
          </w:tcPr>
          <w:p w14:paraId="2587B83C">
            <w:pPr>
              <w:spacing w:before="98" w:line="219" w:lineRule="auto"/>
              <w:rPr>
                <w:rFonts w:ascii="宋体" w:hAnsi="宋体" w:eastAsia="宋体" w:cs="宋体"/>
                <w:color w:val="auto"/>
                <w:spacing w:val="3"/>
                <w:sz w:val="30"/>
                <w:szCs w:val="30"/>
                <w:vertAlign w:val="baseline"/>
              </w:rPr>
            </w:pPr>
          </w:p>
        </w:tc>
        <w:tc>
          <w:tcPr>
            <w:tcW w:w="1371" w:type="dxa"/>
          </w:tcPr>
          <w:p w14:paraId="59587061">
            <w:pPr>
              <w:spacing w:before="98" w:line="219" w:lineRule="auto"/>
              <w:rPr>
                <w:rFonts w:ascii="宋体" w:hAnsi="宋体" w:eastAsia="宋体" w:cs="宋体"/>
                <w:color w:val="auto"/>
                <w:spacing w:val="3"/>
                <w:sz w:val="30"/>
                <w:szCs w:val="30"/>
                <w:vertAlign w:val="baseline"/>
              </w:rPr>
            </w:pPr>
          </w:p>
        </w:tc>
        <w:tc>
          <w:tcPr>
            <w:tcW w:w="1359" w:type="dxa"/>
          </w:tcPr>
          <w:p w14:paraId="408175BB">
            <w:pPr>
              <w:spacing w:before="98" w:line="219" w:lineRule="auto"/>
              <w:rPr>
                <w:rFonts w:ascii="宋体" w:hAnsi="宋体" w:eastAsia="宋体" w:cs="宋体"/>
                <w:color w:val="auto"/>
                <w:spacing w:val="3"/>
                <w:sz w:val="30"/>
                <w:szCs w:val="30"/>
                <w:vertAlign w:val="baseline"/>
              </w:rPr>
            </w:pPr>
          </w:p>
        </w:tc>
      </w:tr>
      <w:tr w14:paraId="7DF3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1744B5F1">
            <w:pPr>
              <w:spacing w:before="98" w:line="219" w:lineRule="auto"/>
              <w:jc w:val="center"/>
              <w:rPr>
                <w:rFonts w:hint="eastAsia"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3"/>
                <w:sz w:val="30"/>
                <w:szCs w:val="30"/>
                <w:vertAlign w:val="baseline"/>
                <w:lang w:val="en-US" w:eastAsia="zh-CN"/>
              </w:rPr>
              <w:t>合计</w:t>
            </w:r>
          </w:p>
        </w:tc>
        <w:tc>
          <w:tcPr>
            <w:tcW w:w="1392" w:type="dxa"/>
          </w:tcPr>
          <w:p w14:paraId="2F088589">
            <w:pPr>
              <w:spacing w:before="98" w:line="219" w:lineRule="auto"/>
              <w:rPr>
                <w:rFonts w:ascii="宋体" w:hAnsi="宋体" w:eastAsia="宋体" w:cs="宋体"/>
                <w:color w:val="auto"/>
                <w:spacing w:val="3"/>
                <w:sz w:val="30"/>
                <w:szCs w:val="30"/>
                <w:vertAlign w:val="baseline"/>
              </w:rPr>
            </w:pPr>
          </w:p>
        </w:tc>
        <w:tc>
          <w:tcPr>
            <w:tcW w:w="1875" w:type="dxa"/>
          </w:tcPr>
          <w:p w14:paraId="067903E6">
            <w:pPr>
              <w:spacing w:before="98" w:line="219" w:lineRule="auto"/>
              <w:rPr>
                <w:rFonts w:ascii="宋体" w:hAnsi="宋体" w:eastAsia="宋体" w:cs="宋体"/>
                <w:color w:val="auto"/>
                <w:spacing w:val="3"/>
                <w:sz w:val="30"/>
                <w:szCs w:val="30"/>
                <w:vertAlign w:val="baseline"/>
              </w:rPr>
            </w:pPr>
          </w:p>
        </w:tc>
        <w:tc>
          <w:tcPr>
            <w:tcW w:w="1500" w:type="dxa"/>
          </w:tcPr>
          <w:p w14:paraId="2BE5F98E">
            <w:pPr>
              <w:spacing w:before="98" w:line="219" w:lineRule="auto"/>
              <w:rPr>
                <w:rFonts w:ascii="宋体" w:hAnsi="宋体" w:eastAsia="宋体" w:cs="宋体"/>
                <w:color w:val="auto"/>
                <w:spacing w:val="3"/>
                <w:sz w:val="30"/>
                <w:szCs w:val="30"/>
                <w:vertAlign w:val="baseline"/>
              </w:rPr>
            </w:pPr>
          </w:p>
        </w:tc>
        <w:tc>
          <w:tcPr>
            <w:tcW w:w="1455" w:type="dxa"/>
          </w:tcPr>
          <w:p w14:paraId="27CE9BFE">
            <w:pPr>
              <w:spacing w:before="98" w:line="219" w:lineRule="auto"/>
              <w:rPr>
                <w:rFonts w:ascii="宋体" w:hAnsi="宋体" w:eastAsia="宋体" w:cs="宋体"/>
                <w:color w:val="auto"/>
                <w:spacing w:val="3"/>
                <w:sz w:val="30"/>
                <w:szCs w:val="30"/>
                <w:vertAlign w:val="baseline"/>
              </w:rPr>
            </w:pPr>
          </w:p>
        </w:tc>
        <w:tc>
          <w:tcPr>
            <w:tcW w:w="1371" w:type="dxa"/>
          </w:tcPr>
          <w:p w14:paraId="0F084DFF">
            <w:pPr>
              <w:spacing w:before="98" w:line="219" w:lineRule="auto"/>
              <w:rPr>
                <w:rFonts w:ascii="宋体" w:hAnsi="宋体" w:eastAsia="宋体" w:cs="宋体"/>
                <w:color w:val="auto"/>
                <w:spacing w:val="3"/>
                <w:sz w:val="30"/>
                <w:szCs w:val="30"/>
                <w:vertAlign w:val="baseline"/>
              </w:rPr>
            </w:pPr>
          </w:p>
        </w:tc>
        <w:tc>
          <w:tcPr>
            <w:tcW w:w="1359" w:type="dxa"/>
          </w:tcPr>
          <w:p w14:paraId="40F928EF">
            <w:pPr>
              <w:spacing w:before="98" w:line="219" w:lineRule="auto"/>
              <w:rPr>
                <w:rFonts w:ascii="宋体" w:hAnsi="宋体" w:eastAsia="宋体" w:cs="宋体"/>
                <w:color w:val="auto"/>
                <w:spacing w:val="3"/>
                <w:sz w:val="30"/>
                <w:szCs w:val="30"/>
                <w:vertAlign w:val="baseline"/>
              </w:rPr>
            </w:pPr>
          </w:p>
        </w:tc>
      </w:tr>
    </w:tbl>
    <w:p w14:paraId="36A0CB79">
      <w:pPr>
        <w:bidi w:val="0"/>
        <w:ind w:firstLine="372" w:firstLineChars="0"/>
        <w:jc w:val="left"/>
        <w:rPr>
          <w:rFonts w:hint="eastAsia"/>
          <w:lang w:val="en-US" w:eastAsia="zh-CN"/>
        </w:rPr>
      </w:pPr>
    </w:p>
    <w:p w14:paraId="7DC22B0B">
      <w:pPr>
        <w:jc w:val="center"/>
        <w:rPr>
          <w:rFonts w:hint="eastAsia" w:ascii="宋体" w:hAnsi="宋体" w:eastAsia="宋体" w:cs="宋体"/>
          <w:sz w:val="32"/>
          <w:szCs w:val="32"/>
        </w:rPr>
      </w:pPr>
      <w:r>
        <w:rPr>
          <w:rFonts w:hint="eastAsia" w:ascii="宋体" w:hAnsi="宋体" w:eastAsia="宋体" w:cs="宋体"/>
          <w:sz w:val="32"/>
          <w:szCs w:val="32"/>
        </w:rPr>
        <w:t>中标通知书</w:t>
      </w:r>
    </w:p>
    <w:p w14:paraId="2D249660">
      <w:pPr>
        <w:rPr>
          <w:rFonts w:hint="eastAsia" w:ascii="宋体" w:hAnsi="宋体" w:eastAsia="宋体" w:cs="宋体"/>
          <w:sz w:val="30"/>
          <w:szCs w:val="30"/>
          <w:u w:val="single"/>
          <w:lang w:val="en-US" w:eastAsia="zh-CN"/>
        </w:rPr>
      </w:pPr>
      <w:r>
        <w:rPr>
          <w:rFonts w:hint="eastAsia" w:ascii="宋体" w:hAnsi="宋体" w:eastAsia="宋体" w:cs="宋体"/>
          <w:sz w:val="30"/>
          <w:szCs w:val="30"/>
          <w:u w:val="single"/>
          <w:lang w:val="en-US" w:eastAsia="zh-CN"/>
        </w:rPr>
        <w:t xml:space="preserve">                      ;</w:t>
      </w:r>
    </w:p>
    <w:p w14:paraId="06E9F704">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 xml:space="preserve">   由我单位组织的招标项目：</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采购项目，经我公司评标委员会评标审定，采购部确认，贵公司为本次中标单位。</w:t>
      </w:r>
    </w:p>
    <w:p w14:paraId="2FEF6696">
      <w:pPr>
        <w:rPr>
          <w:rFonts w:hint="default"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 xml:space="preserve">  中标品种：</w:t>
      </w:r>
      <w:r>
        <w:rPr>
          <w:rFonts w:hint="eastAsia" w:ascii="宋体" w:hAnsi="宋体" w:eastAsia="宋体" w:cs="宋体"/>
          <w:sz w:val="30"/>
          <w:szCs w:val="30"/>
          <w:u w:val="single"/>
          <w:lang w:val="en-US" w:eastAsia="zh-CN"/>
        </w:rPr>
        <w:t xml:space="preserve">             ;</w:t>
      </w:r>
    </w:p>
    <w:p w14:paraId="52D2AA29">
      <w:p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中标数量：</w:t>
      </w:r>
      <w:r>
        <w:rPr>
          <w:rFonts w:hint="eastAsia" w:ascii="宋体" w:hAnsi="宋体" w:eastAsia="宋体" w:cs="宋体"/>
          <w:sz w:val="30"/>
          <w:szCs w:val="30"/>
          <w:u w:val="single"/>
          <w:lang w:val="en-US" w:eastAsia="zh-CN"/>
        </w:rPr>
        <w:t xml:space="preserve">             ;</w:t>
      </w:r>
    </w:p>
    <w:p w14:paraId="546F1660">
      <w:p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中标金额：</w:t>
      </w:r>
      <w:r>
        <w:rPr>
          <w:rFonts w:hint="eastAsia" w:ascii="宋体" w:hAnsi="宋体" w:eastAsia="宋体" w:cs="宋体"/>
          <w:sz w:val="30"/>
          <w:szCs w:val="30"/>
          <w:u w:val="single"/>
          <w:lang w:val="en-US" w:eastAsia="zh-CN"/>
        </w:rPr>
        <w:t xml:space="preserve">             。</w:t>
      </w:r>
    </w:p>
    <w:p w14:paraId="11E8865C">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请贵公司收到中标通知书后在3天内与我单位负责联系人签订合同事宜，并在签订合同前按规定交纳履约保证金。</w:t>
      </w:r>
    </w:p>
    <w:p w14:paraId="581ACBA5">
      <w:pPr>
        <w:rPr>
          <w:rFonts w:hint="eastAsia" w:ascii="宋体" w:hAnsi="宋体" w:eastAsia="宋体" w:cs="宋体"/>
          <w:sz w:val="30"/>
          <w:szCs w:val="30"/>
          <w:u w:val="none"/>
          <w:lang w:val="en-US" w:eastAsia="zh-CN"/>
        </w:rPr>
      </w:pPr>
    </w:p>
    <w:p w14:paraId="53B13A8D">
      <w:pPr>
        <w:jc w:val="right"/>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国药集团中联药业有限公司</w:t>
      </w:r>
    </w:p>
    <w:p w14:paraId="3389A3E5">
      <w:pPr>
        <w:jc w:val="center"/>
        <w:rPr>
          <w:rFonts w:hint="default"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2024年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w:t>
      </w:r>
    </w:p>
    <w:p w14:paraId="0240CE86">
      <w:pPr>
        <w:spacing w:line="288" w:lineRule="auto"/>
        <w:rPr>
          <w:rFonts w:ascii="宋体" w:hAnsi="宋体" w:eastAsia="宋体"/>
          <w:sz w:val="30"/>
          <w:szCs w:val="30"/>
        </w:rPr>
      </w:pPr>
    </w:p>
    <w:p w14:paraId="4CA56450">
      <w:pPr>
        <w:spacing w:line="288" w:lineRule="auto"/>
        <w:ind w:left="567" w:hanging="567"/>
        <w:rPr>
          <w:rFonts w:hint="eastAsia" w:ascii="宋体" w:hAnsi="宋体" w:eastAsia="宋体"/>
          <w:sz w:val="30"/>
          <w:szCs w:val="30"/>
        </w:rPr>
      </w:pPr>
      <w:r>
        <w:rPr>
          <w:rFonts w:hint="eastAsia" w:ascii="宋体" w:hAnsi="宋体" w:eastAsia="宋体"/>
          <w:b/>
          <w:bCs/>
          <w:sz w:val="32"/>
          <w:szCs w:val="32"/>
        </w:rPr>
        <w:t>附件：</w:t>
      </w:r>
      <w:r>
        <w:rPr>
          <w:rFonts w:hint="eastAsia" w:ascii="宋体" w:hAnsi="宋体" w:eastAsia="宋体" w:cs="宋体"/>
          <w:b/>
          <w:bCs/>
          <w:sz w:val="32"/>
          <w:szCs w:val="32"/>
        </w:rPr>
        <w:t>投标人资质文件</w:t>
      </w:r>
    </w:p>
    <w:p w14:paraId="27DF85D0">
      <w:pPr>
        <w:numPr>
          <w:ilvl w:val="1"/>
          <w:numId w:val="1"/>
        </w:numPr>
        <w:spacing w:line="288" w:lineRule="auto"/>
        <w:rPr>
          <w:rFonts w:ascii="宋体" w:hAnsi="宋体" w:eastAsia="宋体"/>
          <w:sz w:val="30"/>
          <w:szCs w:val="30"/>
        </w:rPr>
      </w:pPr>
      <w:r>
        <w:rPr>
          <w:rFonts w:hint="eastAsia" w:ascii="宋体" w:hAnsi="宋体" w:eastAsia="宋体"/>
          <w:sz w:val="30"/>
          <w:szCs w:val="30"/>
        </w:rPr>
        <w:t>营业执照</w:t>
      </w:r>
      <w:r>
        <w:rPr>
          <w:rFonts w:hint="eastAsia" w:ascii="宋体" w:hAnsi="宋体" w:eastAsia="宋体"/>
          <w:sz w:val="30"/>
          <w:szCs w:val="30"/>
          <w:lang w:val="en-US" w:eastAsia="zh-CN"/>
        </w:rPr>
        <w:t xml:space="preserve">                    （供应商和生产企业）</w:t>
      </w:r>
    </w:p>
    <w:p w14:paraId="7DB58344">
      <w:pPr>
        <w:numPr>
          <w:ilvl w:val="1"/>
          <w:numId w:val="1"/>
        </w:numPr>
        <w:spacing w:line="288" w:lineRule="auto"/>
        <w:rPr>
          <w:rFonts w:ascii="宋体" w:hAnsi="宋体" w:eastAsia="宋体"/>
          <w:sz w:val="30"/>
          <w:szCs w:val="30"/>
        </w:rPr>
      </w:pPr>
      <w:r>
        <w:rPr>
          <w:rFonts w:hint="eastAsia" w:ascii="宋体" w:hAnsi="宋体" w:eastAsia="宋体"/>
          <w:sz w:val="30"/>
          <w:szCs w:val="30"/>
        </w:rPr>
        <w:t>组织机构图</w:t>
      </w:r>
      <w:r>
        <w:rPr>
          <w:rFonts w:hint="eastAsia" w:ascii="宋体" w:hAnsi="宋体" w:eastAsia="宋体"/>
          <w:sz w:val="30"/>
          <w:szCs w:val="30"/>
          <w:lang w:val="en-US" w:eastAsia="zh-CN"/>
        </w:rPr>
        <w:t xml:space="preserve">                  （供应商和生产企业）</w:t>
      </w:r>
    </w:p>
    <w:p w14:paraId="3BB3EC7B">
      <w:pPr>
        <w:numPr>
          <w:ilvl w:val="1"/>
          <w:numId w:val="1"/>
        </w:numPr>
        <w:spacing w:line="288" w:lineRule="auto"/>
        <w:rPr>
          <w:rFonts w:ascii="宋体" w:hAnsi="宋体" w:eastAsia="宋体"/>
          <w:sz w:val="30"/>
          <w:szCs w:val="30"/>
        </w:rPr>
      </w:pPr>
      <w:r>
        <w:rPr>
          <w:rFonts w:hint="eastAsia" w:ascii="宋体" w:hAnsi="宋体" w:eastAsia="宋体"/>
          <w:sz w:val="30"/>
          <w:szCs w:val="30"/>
        </w:rPr>
        <w:t>历史批件</w:t>
      </w:r>
      <w:r>
        <w:rPr>
          <w:rFonts w:hint="eastAsia" w:ascii="宋体" w:hAnsi="宋体" w:eastAsia="宋体"/>
          <w:sz w:val="30"/>
          <w:szCs w:val="30"/>
          <w:lang w:val="en-US" w:eastAsia="zh-CN"/>
        </w:rPr>
        <w:t xml:space="preserve">                    （生产企业）</w:t>
      </w:r>
    </w:p>
    <w:p w14:paraId="1668DBDF">
      <w:pPr>
        <w:numPr>
          <w:ilvl w:val="1"/>
          <w:numId w:val="1"/>
        </w:numPr>
        <w:spacing w:line="288" w:lineRule="auto"/>
        <w:rPr>
          <w:rFonts w:ascii="宋体" w:hAnsi="宋体" w:eastAsia="宋体"/>
          <w:sz w:val="30"/>
          <w:szCs w:val="30"/>
        </w:rPr>
      </w:pPr>
      <w:r>
        <w:rPr>
          <w:rFonts w:hint="eastAsia" w:ascii="宋体" w:hAnsi="宋体" w:eastAsia="宋体"/>
          <w:sz w:val="30"/>
          <w:szCs w:val="30"/>
        </w:rPr>
        <w:t>质量标准及检验方法</w:t>
      </w:r>
      <w:r>
        <w:rPr>
          <w:rFonts w:hint="eastAsia" w:ascii="宋体" w:hAnsi="宋体" w:eastAsia="宋体"/>
          <w:sz w:val="30"/>
          <w:szCs w:val="30"/>
          <w:lang w:val="en-US" w:eastAsia="zh-CN"/>
        </w:rPr>
        <w:t xml:space="preserve">          （生产企业）</w:t>
      </w:r>
    </w:p>
    <w:p w14:paraId="453267B1">
      <w:pPr>
        <w:numPr>
          <w:ilvl w:val="1"/>
          <w:numId w:val="1"/>
        </w:numPr>
        <w:spacing w:line="288" w:lineRule="auto"/>
        <w:rPr>
          <w:rFonts w:ascii="宋体" w:hAnsi="宋体" w:eastAsia="宋体"/>
          <w:sz w:val="30"/>
          <w:szCs w:val="30"/>
        </w:rPr>
      </w:pPr>
      <w:r>
        <w:rPr>
          <w:rFonts w:hint="eastAsia" w:ascii="宋体" w:hAnsi="宋体" w:eastAsia="宋体"/>
          <w:sz w:val="30"/>
          <w:szCs w:val="30"/>
        </w:rPr>
        <w:t>检验报告单</w:t>
      </w:r>
      <w:r>
        <w:rPr>
          <w:rFonts w:hint="eastAsia" w:ascii="宋体" w:hAnsi="宋体" w:eastAsia="宋体"/>
          <w:sz w:val="30"/>
          <w:szCs w:val="30"/>
          <w:lang w:val="en-US" w:eastAsia="zh-CN"/>
        </w:rPr>
        <w:t xml:space="preserve">                  （生产企业）</w:t>
      </w:r>
    </w:p>
    <w:p w14:paraId="32812960">
      <w:pPr>
        <w:numPr>
          <w:ilvl w:val="1"/>
          <w:numId w:val="1"/>
        </w:numPr>
        <w:spacing w:line="288" w:lineRule="auto"/>
        <w:rPr>
          <w:rFonts w:ascii="宋体" w:hAnsi="宋体" w:eastAsia="宋体"/>
          <w:sz w:val="30"/>
          <w:szCs w:val="30"/>
        </w:rPr>
      </w:pPr>
      <w:r>
        <w:rPr>
          <w:rFonts w:hint="eastAsia" w:ascii="宋体" w:hAnsi="宋体" w:eastAsia="宋体"/>
          <w:sz w:val="30"/>
          <w:szCs w:val="30"/>
        </w:rPr>
        <w:t>工艺路程图</w:t>
      </w:r>
      <w:r>
        <w:rPr>
          <w:rFonts w:hint="eastAsia" w:ascii="宋体" w:hAnsi="宋体" w:eastAsia="宋体"/>
          <w:sz w:val="30"/>
          <w:szCs w:val="30"/>
          <w:lang w:val="en-US" w:eastAsia="zh-CN"/>
        </w:rPr>
        <w:t xml:space="preserve">                  （生产企业）</w:t>
      </w:r>
    </w:p>
    <w:p w14:paraId="70736FD8">
      <w:pPr>
        <w:numPr>
          <w:ilvl w:val="1"/>
          <w:numId w:val="1"/>
        </w:numPr>
        <w:spacing w:line="288" w:lineRule="auto"/>
        <w:rPr>
          <w:rFonts w:ascii="宋体" w:hAnsi="宋体" w:eastAsia="宋体"/>
          <w:sz w:val="30"/>
          <w:szCs w:val="30"/>
        </w:rPr>
      </w:pPr>
      <w:r>
        <w:rPr>
          <w:rFonts w:hint="eastAsia" w:ascii="宋体" w:hAnsi="宋体" w:eastAsia="宋体"/>
          <w:sz w:val="30"/>
          <w:szCs w:val="30"/>
        </w:rPr>
        <w:t>主要检验设备、生产设备清单</w:t>
      </w:r>
      <w:r>
        <w:rPr>
          <w:rFonts w:hint="eastAsia" w:ascii="宋体" w:hAnsi="宋体" w:eastAsia="宋体"/>
          <w:sz w:val="30"/>
          <w:szCs w:val="30"/>
          <w:lang w:val="en-US" w:eastAsia="zh-CN"/>
        </w:rPr>
        <w:t xml:space="preserve">  （生产企业）</w:t>
      </w:r>
    </w:p>
    <w:p w14:paraId="3252F5C3">
      <w:pPr>
        <w:numPr>
          <w:ilvl w:val="1"/>
          <w:numId w:val="1"/>
        </w:numPr>
        <w:spacing w:line="288" w:lineRule="auto"/>
        <w:rPr>
          <w:rFonts w:ascii="宋体" w:hAnsi="宋体" w:eastAsia="宋体"/>
          <w:sz w:val="30"/>
          <w:szCs w:val="30"/>
        </w:rPr>
      </w:pPr>
      <w:r>
        <w:rPr>
          <w:rFonts w:hint="eastAsia" w:ascii="宋体" w:hAnsi="宋体" w:eastAsia="宋体"/>
          <w:sz w:val="30"/>
          <w:szCs w:val="30"/>
        </w:rPr>
        <w:t>TSE/BSE声明</w:t>
      </w:r>
    </w:p>
    <w:p w14:paraId="1B62F962">
      <w:pPr>
        <w:numPr>
          <w:ilvl w:val="1"/>
          <w:numId w:val="1"/>
        </w:numPr>
        <w:spacing w:line="288" w:lineRule="auto"/>
        <w:rPr>
          <w:rFonts w:ascii="宋体" w:hAnsi="宋体" w:eastAsia="宋体"/>
          <w:sz w:val="30"/>
          <w:szCs w:val="30"/>
        </w:rPr>
      </w:pPr>
      <w:r>
        <w:rPr>
          <w:rFonts w:hint="eastAsia" w:ascii="宋体" w:hAnsi="宋体" w:eastAsia="宋体"/>
          <w:sz w:val="30"/>
          <w:szCs w:val="30"/>
        </w:rPr>
        <w:t>销售人员授权书</w:t>
      </w:r>
      <w:r>
        <w:rPr>
          <w:rFonts w:hint="eastAsia" w:ascii="宋体" w:hAnsi="宋体" w:eastAsia="宋体"/>
          <w:sz w:val="30"/>
          <w:szCs w:val="30"/>
          <w:lang w:val="en-US" w:eastAsia="zh-CN"/>
        </w:rPr>
        <w:t xml:space="preserve">            （供应商）</w:t>
      </w:r>
    </w:p>
    <w:p w14:paraId="2F2A6393">
      <w:pPr>
        <w:numPr>
          <w:ilvl w:val="1"/>
          <w:numId w:val="1"/>
        </w:numPr>
        <w:spacing w:line="288" w:lineRule="auto"/>
        <w:rPr>
          <w:rFonts w:ascii="宋体" w:hAnsi="宋体" w:eastAsia="宋体"/>
          <w:sz w:val="30"/>
          <w:szCs w:val="30"/>
        </w:rPr>
      </w:pPr>
      <w:r>
        <w:rPr>
          <w:rFonts w:hint="eastAsia" w:ascii="宋体" w:hAnsi="宋体" w:eastAsia="宋体"/>
          <w:sz w:val="30"/>
          <w:szCs w:val="30"/>
        </w:rPr>
        <w:t>印鉴备案表</w:t>
      </w:r>
      <w:r>
        <w:rPr>
          <w:rFonts w:hint="eastAsia" w:ascii="宋体" w:hAnsi="宋体" w:eastAsia="宋体"/>
          <w:sz w:val="30"/>
          <w:szCs w:val="30"/>
          <w:lang w:val="en-US" w:eastAsia="zh-CN"/>
        </w:rPr>
        <w:t xml:space="preserve">                （供应商） </w:t>
      </w:r>
    </w:p>
    <w:p w14:paraId="686A5439">
      <w:pPr>
        <w:numPr>
          <w:ilvl w:val="1"/>
          <w:numId w:val="1"/>
        </w:numPr>
        <w:spacing w:line="288" w:lineRule="auto"/>
        <w:rPr>
          <w:rFonts w:ascii="宋体" w:hAnsi="宋体" w:eastAsia="宋体"/>
          <w:sz w:val="30"/>
          <w:szCs w:val="30"/>
        </w:rPr>
      </w:pPr>
      <w:r>
        <w:rPr>
          <w:rFonts w:hint="eastAsia" w:ascii="宋体" w:hAnsi="宋体" w:eastAsia="宋体"/>
          <w:sz w:val="30"/>
          <w:szCs w:val="30"/>
        </w:rPr>
        <w:t>送货单模板</w:t>
      </w:r>
      <w:r>
        <w:rPr>
          <w:rFonts w:hint="eastAsia" w:ascii="宋体" w:hAnsi="宋体" w:eastAsia="宋体"/>
          <w:sz w:val="30"/>
          <w:szCs w:val="30"/>
          <w:lang w:val="en-US" w:eastAsia="zh-CN"/>
        </w:rPr>
        <w:t xml:space="preserve">                （供应商）</w:t>
      </w:r>
    </w:p>
    <w:p w14:paraId="25E7EC85">
      <w:pPr>
        <w:numPr>
          <w:ilvl w:val="1"/>
          <w:numId w:val="1"/>
        </w:numPr>
        <w:spacing w:line="288" w:lineRule="auto"/>
        <w:rPr>
          <w:rFonts w:ascii="宋体" w:hAnsi="宋体" w:eastAsia="宋体"/>
          <w:sz w:val="30"/>
          <w:szCs w:val="30"/>
        </w:rPr>
      </w:pPr>
      <w:r>
        <w:rPr>
          <w:rFonts w:hint="eastAsia" w:ascii="宋体" w:hAnsi="宋体" w:eastAsia="宋体"/>
          <w:sz w:val="30"/>
          <w:szCs w:val="30"/>
        </w:rPr>
        <w:t>发票模板</w:t>
      </w:r>
      <w:r>
        <w:rPr>
          <w:rFonts w:hint="eastAsia" w:ascii="宋体" w:hAnsi="宋体" w:eastAsia="宋体"/>
          <w:sz w:val="30"/>
          <w:szCs w:val="30"/>
          <w:lang w:val="en-US" w:eastAsia="zh-CN"/>
        </w:rPr>
        <w:t xml:space="preserve">                   （供应商）</w:t>
      </w:r>
    </w:p>
    <w:p w14:paraId="5B36E9FE">
      <w:pPr>
        <w:pStyle w:val="10"/>
        <w:numPr>
          <w:ilvl w:val="1"/>
          <w:numId w:val="1"/>
        </w:numPr>
        <w:ind w:firstLineChars="0"/>
        <w:rPr>
          <w:rFonts w:ascii="宋体" w:hAnsi="宋体" w:eastAsia="宋体"/>
          <w:b/>
          <w:bCs/>
          <w:color w:val="FF0000"/>
          <w:sz w:val="30"/>
          <w:szCs w:val="30"/>
        </w:rPr>
      </w:pPr>
      <w:r>
        <w:rPr>
          <w:rFonts w:hint="eastAsia" w:ascii="宋体" w:hAnsi="宋体" w:eastAsia="宋体"/>
          <w:b/>
          <w:bCs/>
          <w:color w:val="FF0000"/>
          <w:sz w:val="30"/>
          <w:szCs w:val="30"/>
        </w:rPr>
        <w:t>安全生产许可证</w:t>
      </w:r>
      <w:r>
        <w:rPr>
          <w:rFonts w:hint="eastAsia" w:ascii="宋体" w:hAnsi="宋体" w:eastAsia="宋体"/>
          <w:b/>
          <w:bCs/>
          <w:color w:val="FF0000"/>
          <w:sz w:val="30"/>
          <w:szCs w:val="30"/>
          <w:lang w:val="en-US" w:eastAsia="zh-CN"/>
        </w:rPr>
        <w:t xml:space="preserve">             </w:t>
      </w:r>
      <w:r>
        <w:rPr>
          <w:rFonts w:hint="eastAsia" w:ascii="宋体" w:hAnsi="宋体" w:eastAsia="宋体"/>
          <w:sz w:val="30"/>
          <w:szCs w:val="30"/>
          <w:lang w:val="en-US" w:eastAsia="zh-CN"/>
        </w:rPr>
        <w:t>（供应商和生产企业）</w:t>
      </w:r>
    </w:p>
    <w:p w14:paraId="5DDD667B">
      <w:pPr>
        <w:pStyle w:val="10"/>
        <w:numPr>
          <w:ilvl w:val="1"/>
          <w:numId w:val="1"/>
        </w:numPr>
        <w:ind w:firstLineChars="0"/>
        <w:rPr>
          <w:rFonts w:ascii="宋体" w:hAnsi="宋体" w:eastAsia="宋体"/>
          <w:b/>
          <w:bCs/>
          <w:color w:val="FF0000"/>
          <w:sz w:val="30"/>
          <w:szCs w:val="30"/>
        </w:rPr>
      </w:pPr>
      <w:r>
        <w:rPr>
          <w:rFonts w:hint="eastAsia" w:ascii="宋体" w:hAnsi="宋体" w:eastAsia="宋体"/>
          <w:b/>
          <w:bCs/>
          <w:color w:val="FF0000"/>
          <w:sz w:val="30"/>
          <w:szCs w:val="30"/>
        </w:rPr>
        <w:t>危险化学品经营许可证</w:t>
      </w:r>
      <w:r>
        <w:rPr>
          <w:rFonts w:hint="eastAsia" w:ascii="宋体" w:hAnsi="宋体" w:eastAsia="宋体"/>
          <w:b/>
          <w:bCs/>
          <w:color w:val="FF0000"/>
          <w:sz w:val="30"/>
          <w:szCs w:val="30"/>
          <w:lang w:val="en-US" w:eastAsia="zh-CN"/>
        </w:rPr>
        <w:t xml:space="preserve">        </w:t>
      </w:r>
      <w:r>
        <w:rPr>
          <w:rFonts w:hint="eastAsia" w:ascii="宋体" w:hAnsi="宋体" w:eastAsia="宋体"/>
          <w:sz w:val="30"/>
          <w:szCs w:val="30"/>
          <w:lang w:val="en-US" w:eastAsia="zh-CN"/>
        </w:rPr>
        <w:t>（供应商和生产企业）</w:t>
      </w:r>
    </w:p>
    <w:p w14:paraId="6A005596">
      <w:pPr>
        <w:pStyle w:val="10"/>
        <w:numPr>
          <w:ilvl w:val="1"/>
          <w:numId w:val="1"/>
        </w:numPr>
        <w:ind w:firstLineChars="0"/>
        <w:rPr>
          <w:rFonts w:ascii="宋体" w:hAnsi="宋体" w:eastAsia="宋体"/>
          <w:b/>
          <w:bCs/>
          <w:color w:val="FF0000"/>
          <w:sz w:val="30"/>
          <w:szCs w:val="30"/>
        </w:rPr>
      </w:pPr>
      <w:r>
        <w:rPr>
          <w:rFonts w:hint="eastAsia" w:ascii="宋体" w:hAnsi="宋体" w:eastAsia="宋体"/>
          <w:b/>
          <w:bCs/>
          <w:color w:val="FF0000"/>
          <w:sz w:val="30"/>
          <w:szCs w:val="30"/>
        </w:rPr>
        <w:t>易燃易爆炸危险品道路运输证</w:t>
      </w:r>
      <w:r>
        <w:rPr>
          <w:rFonts w:hint="eastAsia" w:ascii="宋体" w:hAnsi="宋体" w:eastAsia="宋体"/>
          <w:b/>
          <w:bCs/>
          <w:color w:val="FF0000"/>
          <w:sz w:val="30"/>
          <w:szCs w:val="30"/>
          <w:lang w:val="en-US" w:eastAsia="zh-CN"/>
        </w:rPr>
        <w:t xml:space="preserve">   </w:t>
      </w:r>
      <w:r>
        <w:rPr>
          <w:rFonts w:hint="eastAsia" w:ascii="宋体" w:hAnsi="宋体" w:eastAsia="宋体"/>
          <w:sz w:val="30"/>
          <w:szCs w:val="30"/>
          <w:lang w:val="en-US" w:eastAsia="zh-CN"/>
        </w:rPr>
        <w:t>（供应商和生产企业）</w:t>
      </w:r>
    </w:p>
    <w:p w14:paraId="2C1FFC22">
      <w:pPr>
        <w:rPr>
          <w:rFonts w:hint="eastAsia"/>
        </w:rPr>
      </w:pPr>
    </w:p>
    <w:p w14:paraId="3AC8DD75">
      <w:pPr>
        <w:bidi w:val="0"/>
        <w:rPr>
          <w:rFonts w:hint="eastAsia" w:asciiTheme="minorHAnsi" w:hAnsiTheme="minorHAnsi" w:eastAsiaTheme="minorEastAsia" w:cstheme="minorBidi"/>
          <w:kern w:val="2"/>
          <w:sz w:val="21"/>
          <w:szCs w:val="24"/>
          <w:lang w:val="en-US" w:eastAsia="zh-CN" w:bidi="ar-SA"/>
        </w:rPr>
      </w:pPr>
    </w:p>
    <w:p w14:paraId="08CDC27E">
      <w:pPr>
        <w:bidi w:val="0"/>
        <w:rPr>
          <w:rFonts w:hint="eastAsia"/>
          <w:lang w:val="en-US" w:eastAsia="zh-CN"/>
        </w:rPr>
      </w:pPr>
    </w:p>
    <w:p w14:paraId="6525F0CE">
      <w:pPr>
        <w:bidi w:val="0"/>
        <w:rPr>
          <w:rFonts w:hint="eastAsia"/>
          <w:lang w:val="en-US" w:eastAsia="zh-CN"/>
        </w:rPr>
      </w:pPr>
    </w:p>
    <w:p w14:paraId="63C08493">
      <w:pPr>
        <w:bidi w:val="0"/>
        <w:ind w:firstLine="372" w:firstLineChars="0"/>
        <w:jc w:val="left"/>
        <w:rPr>
          <w:rFonts w:hint="eastAsia"/>
          <w:lang w:val="en-US" w:eastAsia="zh-CN"/>
        </w:rPr>
      </w:pPr>
    </w:p>
    <w:p w14:paraId="428A558E">
      <w:pPr>
        <w:bidi w:val="0"/>
        <w:ind w:firstLine="372" w:firstLineChars="0"/>
        <w:jc w:val="left"/>
        <w:rPr>
          <w:rFonts w:hint="eastAsia"/>
          <w:lang w:val="en-US" w:eastAsia="zh-CN"/>
        </w:rPr>
      </w:pPr>
    </w:p>
    <w:p w14:paraId="6FB1A060">
      <w:pPr>
        <w:bidi w:val="0"/>
        <w:ind w:firstLine="372" w:firstLineChars="0"/>
        <w:jc w:val="left"/>
        <w:rPr>
          <w:rFonts w:hint="eastAsia"/>
          <w:lang w:val="en-US" w:eastAsia="zh-CN"/>
        </w:rPr>
      </w:pPr>
    </w:p>
    <w:p w14:paraId="360927F7">
      <w:pPr>
        <w:bidi w:val="0"/>
        <w:ind w:firstLine="372" w:firstLineChars="0"/>
        <w:jc w:val="left"/>
        <w:rPr>
          <w:rFonts w:hint="eastAsia"/>
          <w:lang w:val="en-US" w:eastAsia="zh-CN"/>
        </w:rPr>
      </w:pPr>
    </w:p>
    <w:p w14:paraId="381A9F2E">
      <w:pPr>
        <w:bidi w:val="0"/>
        <w:jc w:val="left"/>
        <w:rPr>
          <w:rFonts w:hint="eastAsia"/>
          <w:lang w:val="en-US" w:eastAsia="zh-CN"/>
        </w:rPr>
      </w:pPr>
    </w:p>
    <w:sectPr>
      <w:pgSz w:w="11906" w:h="16838"/>
      <w:pgMar w:top="1157"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F5AA9"/>
    <w:multiLevelType w:val="multilevel"/>
    <w:tmpl w:val="EC9F5AA9"/>
    <w:lvl w:ilvl="0" w:tentative="0">
      <w:start w:val="1"/>
      <w:numFmt w:val="decimal"/>
      <w:lvlText w:val="%1."/>
      <w:lvlJc w:val="left"/>
      <w:pPr>
        <w:ind w:left="425" w:hanging="425"/>
      </w:pPr>
      <w:rPr>
        <w:rFonts w:hint="default"/>
      </w:rPr>
    </w:lvl>
    <w:lvl w:ilvl="1" w:tentative="0">
      <w:start w:val="1"/>
      <w:numFmt w:val="decimal"/>
      <w:lvlText w:val="%2、"/>
      <w:lvlJc w:val="left"/>
      <w:pPr>
        <w:ind w:left="850" w:hanging="567"/>
      </w:pPr>
      <w:rPr>
        <w:rFonts w:ascii="Times New Roman" w:hAnsi="Times New Roman" w:eastAsiaTheme="minorEastAsia" w:cstheme="minorBidi"/>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zJkZTY1OWQ1OTZhZDc5Yzc4NDZlYzIyYjFkNTQifQ=="/>
  </w:docVars>
  <w:rsids>
    <w:rsidRoot w:val="2B4A5791"/>
    <w:rsid w:val="00121669"/>
    <w:rsid w:val="00382CB2"/>
    <w:rsid w:val="003D5EC0"/>
    <w:rsid w:val="00407571"/>
    <w:rsid w:val="005B38AB"/>
    <w:rsid w:val="00C17C7C"/>
    <w:rsid w:val="00E565A4"/>
    <w:rsid w:val="00FD6E9D"/>
    <w:rsid w:val="00FF0B91"/>
    <w:rsid w:val="00FF6B88"/>
    <w:rsid w:val="01487061"/>
    <w:rsid w:val="06CB040C"/>
    <w:rsid w:val="12F06965"/>
    <w:rsid w:val="157F52EF"/>
    <w:rsid w:val="181B0BD3"/>
    <w:rsid w:val="21921F06"/>
    <w:rsid w:val="23CD5478"/>
    <w:rsid w:val="240B5FA0"/>
    <w:rsid w:val="24E72569"/>
    <w:rsid w:val="2576747E"/>
    <w:rsid w:val="26170C2C"/>
    <w:rsid w:val="266A5788"/>
    <w:rsid w:val="2B4A5791"/>
    <w:rsid w:val="305555BA"/>
    <w:rsid w:val="3491604D"/>
    <w:rsid w:val="34DF2274"/>
    <w:rsid w:val="350E769E"/>
    <w:rsid w:val="35B30926"/>
    <w:rsid w:val="370A20E7"/>
    <w:rsid w:val="37A20571"/>
    <w:rsid w:val="380B6117"/>
    <w:rsid w:val="397174A7"/>
    <w:rsid w:val="3A7B3F32"/>
    <w:rsid w:val="3E686267"/>
    <w:rsid w:val="3EFD6A4B"/>
    <w:rsid w:val="3F93312D"/>
    <w:rsid w:val="453D3137"/>
    <w:rsid w:val="4A8A736F"/>
    <w:rsid w:val="51F223CA"/>
    <w:rsid w:val="5D000932"/>
    <w:rsid w:val="631A52DC"/>
    <w:rsid w:val="64794284"/>
    <w:rsid w:val="689D451E"/>
    <w:rsid w:val="68A45F25"/>
    <w:rsid w:val="6CB47188"/>
    <w:rsid w:val="738D5656"/>
    <w:rsid w:val="78680440"/>
    <w:rsid w:val="7B892BA7"/>
    <w:rsid w:val="7D3E23B2"/>
    <w:rsid w:val="7DBF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4197</Words>
  <Characters>4310</Characters>
  <Lines>48</Lines>
  <Paragraphs>13</Paragraphs>
  <TotalTime>1</TotalTime>
  <ScaleCrop>false</ScaleCrop>
  <LinksUpToDate>false</LinksUpToDate>
  <CharactersWithSpaces>5078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2023-11-01T03:31:00Z</dcterms:created>
  <dc:creator>喻</dc:creator>
  <cp:lastModifiedBy>Admin</cp:lastModifiedBy>
  <dcterms:modified xsi:type="dcterms:W3CDTF">2024-07-16T03:08:38Z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A411ED5481F2489BBA8D550D6E121F7F_11</vt:lpwstr>
  </property>
</Properties>
</file>